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0"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8"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March 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6"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Precision BioSciences,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8" w:lineRule="exact"/>
        <w:rPr>
          <w:sz w:val="24"/>
          <w:szCs w:val="24"/>
          <w:color w:val="auto"/>
        </w:rPr>
      </w:pPr>
    </w:p>
    <w:tbl>
      <w:tblPr>
        <w:tblLayout w:type="fixed"/>
        <w:tblInd w:w="1020" w:type="dxa"/>
        <w:tblCellMar>
          <w:top w:w="0" w:type="dxa"/>
          <w:left w:w="0" w:type="dxa"/>
          <w:bottom w:w="0" w:type="dxa"/>
          <w:right w:w="0" w:type="dxa"/>
        </w:tblCellMar>
      </w:tblPr>
      <w:tr>
        <w:trPr>
          <w:trHeight w:val="212"/>
        </w:trPr>
        <w:tc>
          <w:tcPr>
            <w:tcW w:w="1840" w:type="dxa"/>
            <w:vAlign w:val="bottom"/>
          </w:tcPr>
          <w:p>
            <w:pPr>
              <w:jc w:val="center"/>
              <w:ind w:right="122"/>
              <w:spacing w:after="0"/>
              <w:rPr>
                <w:sz w:val="20"/>
                <w:szCs w:val="20"/>
                <w:color w:val="auto"/>
              </w:rPr>
            </w:pPr>
            <w:r>
              <w:rPr>
                <w:rFonts w:ascii="Arial" w:cs="Arial" w:eastAsia="Arial" w:hAnsi="Arial"/>
                <w:sz w:val="18"/>
                <w:szCs w:val="18"/>
                <w:b w:val="1"/>
                <w:bCs w:val="1"/>
                <w:color w:val="auto"/>
                <w:w w:val="91"/>
              </w:rPr>
              <w:t>Delaware</w:t>
            </w:r>
          </w:p>
        </w:tc>
        <w:tc>
          <w:tcPr>
            <w:tcW w:w="5660" w:type="dxa"/>
            <w:vAlign w:val="bottom"/>
          </w:tcPr>
          <w:p>
            <w:pPr>
              <w:ind w:left="2340"/>
              <w:spacing w:after="0"/>
              <w:rPr>
                <w:sz w:val="20"/>
                <w:szCs w:val="20"/>
                <w:color w:val="auto"/>
              </w:rPr>
            </w:pPr>
            <w:r>
              <w:rPr>
                <w:rFonts w:ascii="Arial" w:cs="Arial" w:eastAsia="Arial" w:hAnsi="Arial"/>
                <w:sz w:val="18"/>
                <w:szCs w:val="18"/>
                <w:b w:val="1"/>
                <w:bCs w:val="1"/>
                <w:color w:val="auto"/>
              </w:rPr>
              <w:t>001-38841</w:t>
            </w:r>
          </w:p>
        </w:tc>
        <w:tc>
          <w:tcPr>
            <w:tcW w:w="1420" w:type="dxa"/>
            <w:vAlign w:val="bottom"/>
          </w:tcPr>
          <w:p>
            <w:pPr>
              <w:jc w:val="center"/>
              <w:ind w:left="222"/>
              <w:spacing w:after="0"/>
              <w:rPr>
                <w:sz w:val="20"/>
                <w:szCs w:val="20"/>
                <w:color w:val="auto"/>
              </w:rPr>
            </w:pPr>
            <w:r>
              <w:rPr>
                <w:rFonts w:ascii="Arial" w:cs="Arial" w:eastAsia="Arial" w:hAnsi="Arial"/>
                <w:sz w:val="18"/>
                <w:szCs w:val="18"/>
                <w:b w:val="1"/>
                <w:bCs w:val="1"/>
                <w:color w:val="auto"/>
                <w:w w:val="91"/>
              </w:rPr>
              <w:t>20-4206017</w:t>
            </w:r>
          </w:p>
        </w:tc>
      </w:tr>
      <w:tr>
        <w:trPr>
          <w:trHeight w:val="148"/>
        </w:trPr>
        <w:tc>
          <w:tcPr>
            <w:tcW w:w="1840" w:type="dxa"/>
            <w:vAlign w:val="bottom"/>
          </w:tcPr>
          <w:p>
            <w:pPr>
              <w:jc w:val="center"/>
              <w:ind w:right="12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5660" w:type="dxa"/>
            <w:vAlign w:val="bottom"/>
          </w:tcPr>
          <w:p>
            <w:pPr>
              <w:ind w:left="2340"/>
              <w:spacing w:after="0" w:line="149" w:lineRule="exact"/>
              <w:rPr>
                <w:sz w:val="20"/>
                <w:szCs w:val="20"/>
                <w:color w:val="auto"/>
              </w:rPr>
            </w:pPr>
            <w:r>
              <w:rPr>
                <w:rFonts w:ascii="Arial" w:cs="Arial" w:eastAsia="Arial" w:hAnsi="Arial"/>
                <w:sz w:val="14"/>
                <w:szCs w:val="14"/>
                <w:b w:val="1"/>
                <w:bCs w:val="1"/>
                <w:color w:val="auto"/>
              </w:rPr>
              <w:t>(Commission</w:t>
            </w:r>
          </w:p>
        </w:tc>
        <w:tc>
          <w:tcPr>
            <w:tcW w:w="1420" w:type="dxa"/>
            <w:vAlign w:val="bottom"/>
          </w:tcPr>
          <w:p>
            <w:pPr>
              <w:jc w:val="center"/>
              <w:ind w:left="22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1840" w:type="dxa"/>
            <w:vAlign w:val="bottom"/>
          </w:tcPr>
          <w:p>
            <w:pPr>
              <w:jc w:val="center"/>
              <w:ind w:right="122"/>
              <w:spacing w:after="0"/>
              <w:rPr>
                <w:sz w:val="20"/>
                <w:szCs w:val="20"/>
                <w:color w:val="auto"/>
              </w:rPr>
            </w:pPr>
            <w:r>
              <w:rPr>
                <w:rFonts w:ascii="Arial" w:cs="Arial" w:eastAsia="Arial" w:hAnsi="Arial"/>
                <w:sz w:val="14"/>
                <w:szCs w:val="14"/>
                <w:b w:val="1"/>
                <w:bCs w:val="1"/>
                <w:color w:val="auto"/>
                <w:w w:val="92"/>
              </w:rPr>
              <w:t>of incorporation)</w:t>
            </w:r>
          </w:p>
        </w:tc>
        <w:tc>
          <w:tcPr>
            <w:tcW w:w="5660" w:type="dxa"/>
            <w:vAlign w:val="bottom"/>
          </w:tcPr>
          <w:p>
            <w:pPr>
              <w:ind w:left="2320"/>
              <w:spacing w:after="0"/>
              <w:rPr>
                <w:sz w:val="20"/>
                <w:szCs w:val="20"/>
                <w:color w:val="auto"/>
              </w:rPr>
            </w:pPr>
            <w:r>
              <w:rPr>
                <w:rFonts w:ascii="Arial" w:cs="Arial" w:eastAsia="Arial" w:hAnsi="Arial"/>
                <w:sz w:val="14"/>
                <w:szCs w:val="14"/>
                <w:b w:val="1"/>
                <w:bCs w:val="1"/>
                <w:color w:val="auto"/>
              </w:rPr>
              <w:t>File Number)</w:t>
            </w:r>
          </w:p>
        </w:tc>
        <w:tc>
          <w:tcPr>
            <w:tcW w:w="1420" w:type="dxa"/>
            <w:vAlign w:val="bottom"/>
          </w:tcPr>
          <w:p>
            <w:pPr>
              <w:jc w:val="center"/>
              <w:ind w:left="222"/>
              <w:spacing w:after="0"/>
              <w:rPr>
                <w:sz w:val="20"/>
                <w:szCs w:val="20"/>
                <w:color w:val="auto"/>
              </w:rPr>
            </w:pPr>
            <w:r>
              <w:rPr>
                <w:rFonts w:ascii="Arial" w:cs="Arial" w:eastAsia="Arial" w:hAnsi="Arial"/>
                <w:sz w:val="14"/>
                <w:szCs w:val="14"/>
                <w:b w:val="1"/>
                <w:bCs w:val="1"/>
                <w:color w:val="auto"/>
                <w:w w:val="94"/>
              </w:rPr>
              <w:t>Identification No.)</w:t>
            </w:r>
          </w:p>
        </w:tc>
      </w:tr>
      <w:tr>
        <w:trPr>
          <w:trHeight w:val="340"/>
        </w:trPr>
        <w:tc>
          <w:tcPr>
            <w:tcW w:w="1840" w:type="dxa"/>
            <w:vAlign w:val="bottom"/>
          </w:tcPr>
          <w:p>
            <w:pPr>
              <w:spacing w:after="0"/>
              <w:rPr>
                <w:sz w:val="24"/>
                <w:szCs w:val="24"/>
                <w:color w:val="auto"/>
              </w:rPr>
            </w:pPr>
          </w:p>
        </w:tc>
        <w:tc>
          <w:tcPr>
            <w:tcW w:w="5660" w:type="dxa"/>
            <w:vAlign w:val="bottom"/>
          </w:tcPr>
          <w:p>
            <w:pPr>
              <w:jc w:val="center"/>
              <w:ind w:right="40"/>
              <w:spacing w:after="0"/>
              <w:rPr>
                <w:sz w:val="20"/>
                <w:szCs w:val="20"/>
                <w:color w:val="auto"/>
              </w:rPr>
            </w:pPr>
            <w:r>
              <w:rPr>
                <w:rFonts w:ascii="Arial" w:cs="Arial" w:eastAsia="Arial" w:hAnsi="Arial"/>
                <w:sz w:val="18"/>
                <w:szCs w:val="18"/>
                <w:b w:val="1"/>
                <w:bCs w:val="1"/>
                <w:color w:val="auto"/>
                <w:w w:val="91"/>
              </w:rPr>
              <w:t>302 East Pettigrew St., Suite A-100, Durham, North Carolina 27701</w:t>
            </w:r>
          </w:p>
        </w:tc>
        <w:tc>
          <w:tcPr>
            <w:tcW w:w="1420" w:type="dxa"/>
            <w:vAlign w:val="bottom"/>
          </w:tcPr>
          <w:p>
            <w:pPr>
              <w:spacing w:after="0"/>
              <w:rPr>
                <w:sz w:val="24"/>
                <w:szCs w:val="24"/>
                <w:color w:val="auto"/>
              </w:rPr>
            </w:pPr>
          </w:p>
        </w:tc>
      </w:tr>
      <w:tr>
        <w:trPr>
          <w:trHeight w:val="186"/>
        </w:trPr>
        <w:tc>
          <w:tcPr>
            <w:tcW w:w="1840" w:type="dxa"/>
            <w:vAlign w:val="bottom"/>
          </w:tcPr>
          <w:p>
            <w:pPr>
              <w:spacing w:after="0"/>
              <w:rPr>
                <w:sz w:val="16"/>
                <w:szCs w:val="16"/>
                <w:color w:val="auto"/>
              </w:rPr>
            </w:pPr>
          </w:p>
        </w:tc>
        <w:tc>
          <w:tcPr>
            <w:tcW w:w="5660" w:type="dxa"/>
            <w:vAlign w:val="bottom"/>
          </w:tcPr>
          <w:p>
            <w:pPr>
              <w:jc w:val="center"/>
              <w:ind w:right="60"/>
              <w:spacing w:after="0"/>
              <w:rPr>
                <w:sz w:val="20"/>
                <w:szCs w:val="20"/>
                <w:color w:val="auto"/>
              </w:rPr>
            </w:pPr>
            <w:r>
              <w:rPr>
                <w:rFonts w:ascii="Arial" w:cs="Arial" w:eastAsia="Arial" w:hAnsi="Arial"/>
                <w:sz w:val="14"/>
                <w:szCs w:val="14"/>
                <w:b w:val="1"/>
                <w:bCs w:val="1"/>
                <w:color w:val="auto"/>
                <w:w w:val="92"/>
              </w:rPr>
              <w:t>(Address of principal executive offices) (Zip Code)</w:t>
            </w:r>
          </w:p>
        </w:tc>
        <w:tc>
          <w:tcPr>
            <w:tcW w:w="1420" w:type="dxa"/>
            <w:vAlign w:val="bottom"/>
          </w:tcPr>
          <w:p>
            <w:pPr>
              <w:spacing w:after="0"/>
              <w:rPr>
                <w:sz w:val="16"/>
                <w:szCs w:val="16"/>
                <w:color w:val="auto"/>
              </w:rPr>
            </w:pPr>
          </w:p>
        </w:tc>
      </w:tr>
      <w:tr>
        <w:trPr>
          <w:trHeight w:val="313"/>
        </w:trPr>
        <w:tc>
          <w:tcPr>
            <w:tcW w:w="1840" w:type="dxa"/>
            <w:vAlign w:val="bottom"/>
          </w:tcPr>
          <w:p>
            <w:pPr>
              <w:spacing w:after="0"/>
              <w:rPr>
                <w:sz w:val="24"/>
                <w:szCs w:val="24"/>
                <w:color w:val="auto"/>
              </w:rPr>
            </w:pPr>
          </w:p>
        </w:tc>
        <w:tc>
          <w:tcPr>
            <w:tcW w:w="5660" w:type="dxa"/>
            <w:vAlign w:val="bottom"/>
          </w:tcPr>
          <w:p>
            <w:pPr>
              <w:jc w:val="center"/>
              <w:ind w:right="60"/>
              <w:spacing w:after="0"/>
              <w:rPr>
                <w:sz w:val="20"/>
                <w:szCs w:val="20"/>
                <w:color w:val="auto"/>
              </w:rPr>
            </w:pPr>
            <w:r>
              <w:rPr>
                <w:rFonts w:ascii="Arial" w:cs="Arial" w:eastAsia="Arial" w:hAnsi="Arial"/>
                <w:sz w:val="18"/>
                <w:szCs w:val="18"/>
                <w:b w:val="1"/>
                <w:bCs w:val="1"/>
                <w:color w:val="auto"/>
                <w:w w:val="90"/>
              </w:rPr>
              <w:t>(919) 314-5512</w:t>
            </w:r>
          </w:p>
        </w:tc>
        <w:tc>
          <w:tcPr>
            <w:tcW w:w="1420" w:type="dxa"/>
            <w:vAlign w:val="bottom"/>
          </w:tcPr>
          <w:p>
            <w:pPr>
              <w:spacing w:after="0"/>
              <w:rPr>
                <w:sz w:val="24"/>
                <w:szCs w:val="24"/>
                <w:color w:val="auto"/>
              </w:rPr>
            </w:pPr>
          </w:p>
        </w:tc>
      </w:tr>
      <w:tr>
        <w:trPr>
          <w:trHeight w:val="186"/>
        </w:trPr>
        <w:tc>
          <w:tcPr>
            <w:tcW w:w="1840" w:type="dxa"/>
            <w:vAlign w:val="bottom"/>
          </w:tcPr>
          <w:p>
            <w:pPr>
              <w:spacing w:after="0"/>
              <w:rPr>
                <w:sz w:val="16"/>
                <w:szCs w:val="16"/>
                <w:color w:val="auto"/>
              </w:rPr>
            </w:pPr>
          </w:p>
        </w:tc>
        <w:tc>
          <w:tcPr>
            <w:tcW w:w="5660" w:type="dxa"/>
            <w:vAlign w:val="bottom"/>
          </w:tcPr>
          <w:p>
            <w:pPr>
              <w:jc w:val="center"/>
              <w:ind w:right="6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420" w:type="dxa"/>
            <w:vAlign w:val="bottom"/>
          </w:tcPr>
          <w:p>
            <w:pPr>
              <w:spacing w:after="0"/>
              <w:rPr>
                <w:sz w:val="16"/>
                <w:szCs w:val="16"/>
                <w:color w:val="auto"/>
              </w:rPr>
            </w:pPr>
          </w:p>
        </w:tc>
      </w:tr>
      <w:tr>
        <w:trPr>
          <w:trHeight w:val="327"/>
        </w:trPr>
        <w:tc>
          <w:tcPr>
            <w:tcW w:w="1840" w:type="dxa"/>
            <w:vAlign w:val="bottom"/>
          </w:tcPr>
          <w:p>
            <w:pPr>
              <w:spacing w:after="0"/>
              <w:rPr>
                <w:sz w:val="24"/>
                <w:szCs w:val="24"/>
                <w:color w:val="auto"/>
              </w:rPr>
            </w:pPr>
          </w:p>
        </w:tc>
        <w:tc>
          <w:tcPr>
            <w:tcW w:w="5660" w:type="dxa"/>
            <w:vAlign w:val="bottom"/>
          </w:tcPr>
          <w:p>
            <w:pPr>
              <w:jc w:val="center"/>
              <w:ind w:right="60"/>
              <w:spacing w:after="0"/>
              <w:rPr>
                <w:sz w:val="20"/>
                <w:szCs w:val="20"/>
                <w:color w:val="auto"/>
              </w:rPr>
            </w:pPr>
            <w:r>
              <w:rPr>
                <w:rFonts w:ascii="Arial" w:cs="Arial" w:eastAsia="Arial" w:hAnsi="Arial"/>
                <w:sz w:val="18"/>
                <w:szCs w:val="18"/>
                <w:b w:val="1"/>
                <w:bCs w:val="1"/>
                <w:color w:val="auto"/>
              </w:rPr>
              <w:t>N/A</w:t>
            </w:r>
          </w:p>
        </w:tc>
        <w:tc>
          <w:tcPr>
            <w:tcW w:w="1420" w:type="dxa"/>
            <w:vAlign w:val="bottom"/>
          </w:tcPr>
          <w:p>
            <w:pPr>
              <w:spacing w:after="0"/>
              <w:rPr>
                <w:sz w:val="24"/>
                <w:szCs w:val="24"/>
                <w:color w:val="auto"/>
              </w:rPr>
            </w:pPr>
          </w:p>
        </w:tc>
      </w:tr>
      <w:tr>
        <w:trPr>
          <w:trHeight w:val="186"/>
        </w:trPr>
        <w:tc>
          <w:tcPr>
            <w:tcW w:w="1840" w:type="dxa"/>
            <w:vAlign w:val="bottom"/>
          </w:tcPr>
          <w:p>
            <w:pPr>
              <w:spacing w:after="0"/>
              <w:rPr>
                <w:sz w:val="16"/>
                <w:szCs w:val="16"/>
                <w:color w:val="auto"/>
              </w:rPr>
            </w:pPr>
          </w:p>
        </w:tc>
        <w:tc>
          <w:tcPr>
            <w:tcW w:w="5660" w:type="dxa"/>
            <w:vAlign w:val="bottom"/>
          </w:tcPr>
          <w:p>
            <w:pPr>
              <w:jc w:val="center"/>
              <w:ind w:right="6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4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1" w:lineRule="exact"/>
        <w:rPr>
          <w:sz w:val="24"/>
          <w:szCs w:val="24"/>
          <w:color w:val="auto"/>
        </w:rPr>
      </w:pPr>
    </w:p>
    <w:p>
      <w:pPr>
        <w:ind w:right="7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900" w:hanging="447"/>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00" w:hanging="447"/>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00" w:hanging="447"/>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00" w:hanging="447"/>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53"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Securities registered pursuant to Section 12(b) of the Act:</w:t>
      </w:r>
    </w:p>
    <w:p>
      <w:pPr>
        <w:spacing w:after="0" w:line="27" w:lineRule="exact"/>
        <w:rPr>
          <w:sz w:val="24"/>
          <w:szCs w:val="24"/>
          <w:color w:val="auto"/>
        </w:rPr>
      </w:pPr>
    </w:p>
    <w:tbl>
      <w:tblPr>
        <w:tblLayout w:type="fixed"/>
        <w:tblInd w:w="10" w:type="dxa"/>
        <w:tblCellMar>
          <w:top w:w="0" w:type="dxa"/>
          <w:left w:w="0" w:type="dxa"/>
          <w:bottom w:w="0" w:type="dxa"/>
          <w:right w:w="0" w:type="dxa"/>
        </w:tblCellMar>
      </w:tblPr>
      <w:tr>
        <w:trPr>
          <w:trHeight w:val="352"/>
        </w:trPr>
        <w:tc>
          <w:tcPr>
            <w:tcW w:w="29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9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54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c>
          <w:tcPr>
            <w:tcW w:w="20" w:type="dxa"/>
            <w:vAlign w:val="bottom"/>
          </w:tcPr>
          <w:p>
            <w:pPr>
              <w:spacing w:after="0"/>
              <w:rPr>
                <w:sz w:val="24"/>
                <w:szCs w:val="24"/>
                <w:color w:val="auto"/>
              </w:rPr>
            </w:pPr>
          </w:p>
        </w:tc>
      </w:tr>
      <w:tr>
        <w:trPr>
          <w:trHeight w:val="337"/>
        </w:trPr>
        <w:tc>
          <w:tcPr>
            <w:tcW w:w="2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$0.000005</w:t>
            </w:r>
          </w:p>
        </w:tc>
        <w:tc>
          <w:tcPr>
            <w:tcW w:w="2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DTIL</w:t>
            </w:r>
          </w:p>
        </w:tc>
        <w:tc>
          <w:tcPr>
            <w:tcW w:w="5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The Nasdaq Global Select Market</w:t>
            </w:r>
          </w:p>
        </w:tc>
        <w:tc>
          <w:tcPr>
            <w:tcW w:w="20" w:type="dxa"/>
            <w:vAlign w:val="bottom"/>
          </w:tcPr>
          <w:p>
            <w:pPr>
              <w:spacing w:after="0"/>
              <w:rPr>
                <w:sz w:val="24"/>
                <w:szCs w:val="24"/>
                <w:color w:val="auto"/>
              </w:rPr>
            </w:pPr>
          </w:p>
        </w:tc>
      </w:tr>
      <w:tr>
        <w:trPr>
          <w:trHeight w:val="237"/>
        </w:trPr>
        <w:tc>
          <w:tcPr>
            <w:tcW w:w="29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per share</w:t>
            </w:r>
          </w:p>
        </w:tc>
        <w:tc>
          <w:tcPr>
            <w:tcW w:w="2900" w:type="dxa"/>
            <w:vAlign w:val="bottom"/>
            <w:tcBorders>
              <w:bottom w:val="single" w:sz="8" w:color="auto"/>
              <w:right w:val="single" w:sz="8" w:color="auto"/>
            </w:tcBorders>
          </w:tcPr>
          <w:p>
            <w:pPr>
              <w:spacing w:after="0"/>
              <w:rPr>
                <w:sz w:val="20"/>
                <w:szCs w:val="20"/>
                <w:color w:val="auto"/>
              </w:rPr>
            </w:pPr>
          </w:p>
        </w:tc>
        <w:tc>
          <w:tcPr>
            <w:tcW w:w="540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561"/>
        </w:trPr>
        <w:tc>
          <w:tcPr>
            <w:tcW w:w="294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5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030" w:right="319" w:bottom="1440" w:gutter="0" w:footer="0" w:header="0"/>
        </w:sectPr>
      </w:pPr>
    </w:p>
    <w:bookmarkStart w:id="1" w:name="page2"/>
    <w:bookmarkEnd w:id="1"/>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7"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90" w:lineRule="exact"/>
        <w:rPr>
          <w:sz w:val="20"/>
          <w:szCs w:val="20"/>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763905</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80"/>
          </w:cols>
          <w:pgMar w:left="320" w:top="503" w:right="499" w:bottom="1440" w:gutter="0" w:footer="0" w:header="0"/>
        </w:sectPr>
      </w:pPr>
    </w:p>
    <w:bookmarkStart w:id="2" w:name="page3"/>
    <w:bookmarkEnd w:id="2"/>
    <w:p>
      <w:pPr>
        <w:ind w:left="1120" w:right="120" w:hanging="1119"/>
        <w:spacing w:after="0" w:line="282" w:lineRule="auto"/>
        <w:tabs>
          <w:tab w:leader="none" w:pos="110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On March 6, 2020, the Board of Directors (the “Board”) of Precision BioSciences, Inc. (the “Company”) increased the size of the Board from six (6) to seven (7) directors and appointed Geno Germano to serve as a Class I director on the Company’s Board and as a member of the Board’s Audit Committee and Compensation Committee, in each case, effective March 10, 2020. Mr. Germano will serve for a term expiring at the Company’s 2020 annual meeting of stockholders and until his successor is duly elected and qualified or his earlier death, disqualification, resignation or removal.</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Mr. Germano has served as President and Chief Executive Officer and as a board member of Elucida Oncology, Inc. (“Elucida”), a biotechnology company, since August 2018. As President and CEO of Elucida, Mr. Germano leads strategic efforts to utilize Elucida’s ultra-small C-dot cancer targeting particle platform across diagnostic imaging, surgical and therapeutic applications. He served as President of Intrexon Corporation (“Intrexon”), a leader in engineering and industrialization of biology, from June 2016 to March 2017. Prior to joining Intrexon, from 2014 to February 2016, Mr. Germano was Group President of the Global Innovative Pharma Business of Pfizer Inc. (“Pfizer”), where he led a growing global $14 billion business with market-leading medicines and an extensive portfolio of late-stage development candidates in several therapeutic areas including cardiovascular, metabolic disease, neuroscience, inflammation, immunology, and rare diseases. Mr. Germano was also Co-Chair of the Portfolio Strategy and Investment Committee at Pfizer, focused on maximizing the return on research and development investment across the Pfizer portfolio from 2013 to 2016. Previously, from 2009 through 2013, Mr. Germano served as President and General Manager of Pfizer’s Specialty Care and Oncology business units where he led commercial, medical, and post proof-of-concept pipeline strategy and development across global markets, and as Executive Vice President of the Vaccines Business. Mr. Germano also currently serves on the board of Sage Therapeutics, Inc. From 2008 to 2018, Mr. Germano was a Trustee of the Albany College of Pharmacy &amp; Health Sciences. Mr. Germano received his Bachelor of Science in Pharmacy from Albany College of Pharmacy.</w:t>
      </w:r>
    </w:p>
    <w:p>
      <w:pPr>
        <w:spacing w:after="0" w:line="168"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In accordance with the Company’s compensation policy for non-employee directors, Mr. Germano was granted, effective March 10, 2020 (the “grant date”), an initial option to purchase shares of the Company’s common stock in an amount having an aggregate grant date fair value of $350,000, vesting over three years in thirty-six (36) substantially equal monthly installments following the grant date, subject to his continued service on the Board through each such vesting date, and is eligible to receive annual cash compensation of (a) $40,000 for his service as a director, (b) $7,500 for his service as a member of the Audit Committee and (c) $6,000 for his service as a member of the Compensation Committee.</w:t>
      </w:r>
    </w:p>
    <w:p>
      <w:pPr>
        <w:spacing w:after="0" w:line="161"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Mr. Germano is expected to enter into the Company’s standard form indemnification agreement in the form filed as Exhibit 10.17 to the Company’s Registration Statement on Form S-1/A (File No. 333-230034), filed with the Securities and Exchange Commission on March 18, 2019.</w:t>
      </w:r>
    </w:p>
    <w:p>
      <w:pPr>
        <w:spacing w:after="0" w:line="120"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 March 11, 2020, the Company issued a press release announcing Mr. Germano’s appointment.</w:t>
      </w:r>
    </w:p>
    <w:p>
      <w:pPr>
        <w:spacing w:after="0" w:line="225"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 press release is filed as Exhibit 99.1 to this Current Report on Form 8-K and is incorporated into this Item 7.01 by reference. The information in this Item 7.01, including Exhibit 99.1, shall not be deemed “filed” for purposes of Section 18 of the Securities Exchange Act of 1934, as amended (the “Exchange Act”), or otherwise subject to the liabilities of that section, nor shall it be deemed to be incorporated by reference into any filing under the Securities Act of 1933, as amended, or the Exchange Act, except as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593725</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3" w:name="page4"/>
    <w:bookmarkEnd w:id="3"/>
    <w:p>
      <w:pPr>
        <w:spacing w:after="0"/>
        <w:tabs>
          <w:tab w:leader="none" w:pos="15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920" w:hanging="453"/>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73"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320"/>
        <w:spacing w:after="0"/>
        <w:tabs>
          <w:tab w:leader="none" w:pos="112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6">
        <w:r>
          <w:rPr>
            <w:rFonts w:ascii="Arial" w:cs="Arial" w:eastAsia="Arial" w:hAnsi="Arial"/>
            <w:sz w:val="16"/>
            <w:szCs w:val="16"/>
            <w:u w:val="single" w:color="auto"/>
            <w:color w:val="0000EE"/>
          </w:rPr>
          <w:t>Press Release of Precision Biosciences, Inc., dated March 11,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516255</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351" w:right="1440"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0"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PRECISION BIOSCIENCES, INC.</w:t>
      </w:r>
    </w:p>
    <w:p>
      <w:pPr>
        <w:spacing w:after="0" w:line="239" w:lineRule="exact"/>
        <w:rPr>
          <w:sz w:val="20"/>
          <w:szCs w:val="20"/>
          <w:color w:val="auto"/>
        </w:rPr>
      </w:pPr>
    </w:p>
    <w:p>
      <w:pPr>
        <w:spacing w:after="0"/>
        <w:tabs>
          <w:tab w:leader="none" w:pos="7260" w:val="left"/>
        </w:tabs>
        <w:rPr>
          <w:sz w:val="20"/>
          <w:szCs w:val="20"/>
          <w:color w:val="auto"/>
        </w:rPr>
      </w:pPr>
      <w:r>
        <w:rPr>
          <w:rFonts w:ascii="Arial" w:cs="Arial" w:eastAsia="Arial" w:hAnsi="Arial"/>
          <w:sz w:val="18"/>
          <w:szCs w:val="18"/>
          <w:color w:val="auto"/>
        </w:rPr>
        <w:t>Date: March 11, 2020</w:t>
      </w:r>
      <w:r>
        <w:rPr>
          <w:sz w:val="20"/>
          <w:szCs w:val="20"/>
          <w:color w:val="auto"/>
        </w:rPr>
        <w:tab/>
      </w:r>
      <w:r>
        <w:rPr>
          <w:rFonts w:ascii="Arial" w:cs="Arial" w:eastAsia="Arial" w:hAnsi="Arial"/>
          <w:sz w:val="17"/>
          <w:szCs w:val="17"/>
          <w:color w:val="auto"/>
        </w:rPr>
        <w:t>By:  /s/ Abid Ansari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14605</wp:posOffset>
            </wp:positionV>
            <wp:extent cx="22802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80285" cy="8890"/>
                    </a:xfrm>
                    <a:prstGeom prst="rect">
                      <a:avLst/>
                    </a:prstGeom>
                    <a:noFill/>
                  </pic:spPr>
                </pic:pic>
              </a:graphicData>
            </a:graphic>
          </wp:anchor>
        </w:drawing>
      </w:r>
    </w:p>
    <w:p>
      <w:pPr>
        <w:spacing w:after="0" w:line="30"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Abid Ansari</w:t>
      </w:r>
    </w:p>
    <w:p>
      <w:pPr>
        <w:spacing w:after="0" w:line="2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00"/>
          </w:cols>
          <w:pgMar w:left="320" w:top="351" w:right="37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color w:val="auto"/>
        </w:rPr>
        <w:t>Exhibit 99.1</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Precision BioSciences Strengthens Board of Directors with Appointment of Geno Germano</w:t>
      </w:r>
    </w:p>
    <w:p>
      <w:pPr>
        <w:spacing w:after="0" w:line="235" w:lineRule="exact"/>
        <w:rPr>
          <w:sz w:val="20"/>
          <w:szCs w:val="20"/>
          <w:color w:val="auto"/>
        </w:rPr>
      </w:pPr>
    </w:p>
    <w:p>
      <w:pPr>
        <w:jc w:val="both"/>
        <w:ind w:right="180"/>
        <w:spacing w:after="0" w:line="250" w:lineRule="auto"/>
        <w:rPr>
          <w:sz w:val="20"/>
          <w:szCs w:val="20"/>
          <w:color w:val="auto"/>
        </w:rPr>
      </w:pPr>
      <w:r>
        <w:rPr>
          <w:rFonts w:ascii="Arial" w:cs="Arial" w:eastAsia="Arial" w:hAnsi="Arial"/>
          <w:sz w:val="20"/>
          <w:szCs w:val="20"/>
          <w:color w:val="auto"/>
        </w:rPr>
        <w:t>Durham, N.C., March 11, 2020 -- Precision BioSciences, Inc. (Nasdaq: DTIL), a life sciences company dedicated to improving life through the application of its pioneering, proprietary ARCUS® genome editing platform, announced today that Geno Germano, President and CEO of Elucida Oncology, has been appointed to the company’s Board of Directors.</w:t>
      </w:r>
    </w:p>
    <w:p>
      <w:pPr>
        <w:spacing w:after="0" w:line="199" w:lineRule="exact"/>
        <w:rPr>
          <w:sz w:val="20"/>
          <w:szCs w:val="20"/>
          <w:color w:val="auto"/>
        </w:rPr>
      </w:pPr>
    </w:p>
    <w:p>
      <w:pPr>
        <w:ind w:right="180"/>
        <w:spacing w:after="0" w:line="263" w:lineRule="auto"/>
        <w:rPr>
          <w:sz w:val="20"/>
          <w:szCs w:val="20"/>
          <w:color w:val="auto"/>
        </w:rPr>
      </w:pPr>
      <w:r>
        <w:rPr>
          <w:rFonts w:ascii="Arial" w:cs="Arial" w:eastAsia="Arial" w:hAnsi="Arial"/>
          <w:sz w:val="19"/>
          <w:szCs w:val="19"/>
          <w:color w:val="auto"/>
        </w:rPr>
        <w:t>“Over the course of his career, Geno has been a leader at some of the world’s most innovative companies, including Intrexon, Pfizer, Wyeth and Johnson &amp; Johnson. This experience, together with his expertise in oncology as CEO of Elucida, will be invaluable to Precision as we work to deliver on the promise of genome editing to improve human health and wellness,” commented Matt Kane, CEO and co-founder of Precision BioSciences. “We welcome him and look forward to working together.”</w:t>
      </w:r>
    </w:p>
    <w:p>
      <w:pPr>
        <w:spacing w:after="0" w:line="190"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color w:val="auto"/>
        </w:rPr>
        <w:t xml:space="preserve">“I am excited to join Precision BioSciences at this important time, as they continue to advance multiple innovative programs in allogeneic cell therapy and </w:t>
      </w:r>
      <w:r>
        <w:rPr>
          <w:rFonts w:ascii="Arial" w:cs="Arial" w:eastAsia="Arial" w:hAnsi="Arial"/>
          <w:sz w:val="20"/>
          <w:szCs w:val="20"/>
          <w:i w:val="1"/>
          <w:iCs w:val="1"/>
          <w:color w:val="auto"/>
        </w:rPr>
        <w:t>in vivo</w:t>
      </w:r>
      <w:r>
        <w:rPr>
          <w:rFonts w:ascii="Arial" w:cs="Arial" w:eastAsia="Arial" w:hAnsi="Arial"/>
          <w:sz w:val="20"/>
          <w:szCs w:val="20"/>
          <w:color w:val="auto"/>
        </w:rPr>
        <w:t xml:space="preserve"> gene correction into clinical trials,” said Mr. Germano. “My personal goal is to work with innovative companies who are driving real therapeutic benefit for patients in need. Precision’s differentiated approach to genome editing through ARCUS, along with its expanding clinical portfolio, has tremendous potential to deliver transformative advancements in medicine across multiple different diseases.”</w:t>
      </w:r>
    </w:p>
    <w:p>
      <w:pPr>
        <w:spacing w:after="0" w:line="208" w:lineRule="exact"/>
        <w:rPr>
          <w:sz w:val="20"/>
          <w:szCs w:val="20"/>
          <w:color w:val="auto"/>
        </w:rPr>
      </w:pPr>
    </w:p>
    <w:p>
      <w:pPr>
        <w:ind w:right="60"/>
        <w:spacing w:after="0" w:line="255" w:lineRule="auto"/>
        <w:rPr>
          <w:sz w:val="20"/>
          <w:szCs w:val="20"/>
          <w:color w:val="auto"/>
        </w:rPr>
      </w:pPr>
      <w:r>
        <w:rPr>
          <w:rFonts w:ascii="Arial" w:cs="Arial" w:eastAsia="Arial" w:hAnsi="Arial"/>
          <w:sz w:val="19"/>
          <w:szCs w:val="19"/>
          <w:color w:val="auto"/>
        </w:rPr>
        <w:t>Mr. Germano is a 30-year veteran of the pharmaceutical and life sciences industry who, prior to joining Elucida Oncology, served as President of Intrexon, a leader in the application of synthetic biology. He has also held multiple senior roles at major pharmaceutical corporations including Pfizer, Wyeth and Johnson &amp; Johnson. At Pfizer, he led the Global Innovative Pharmaceutical business, cultivating a $14 billion operation and guiding the development of an extensive portfolio of products in the cardiovascular, immunology, metabolic disease, neuroscience and rare disease areas. He also served as Pfizer’s President and General Manager of the Specialty Care, Vaccines and Oncology business units. At Wyeth Pharmaceuticals, Mr. Germano served as President of Wyeth U.S., President of the Global Pharmaceutical and Women's Healthcare business and as Executive Vice President of the Vaccines. He has been a member of the Group of Fifty (G50) and served on the Board of the Biotechnology Innovation Organization (BIO), where he was a member of the Executive Committee. Mr. Germano has also served on the Advisory Board of the Healthcare Businesswomen's Association, and he currently serves on the board of directors at Sage Therapeutics (NASDAQ:SAGE). He received his Bachelor of Science degree at the Albany College of Pharmacy and Health Sciences.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Precision BioSciences, Inc.</w:t>
      </w:r>
    </w:p>
    <w:p>
      <w:pPr>
        <w:spacing w:after="0" w:line="22"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 xml:space="preserve">Precision BioSciences is dedicated to improving life (DTIL) through its proprietary genome editing platform, ARCUS. Precision leverages ARCUS in the development of its product candidates, which are designed to treat human diseases and create healthy and sustainable food and agriculture solutions. Precision is actively developing product candidates in three innovative areas: allogeneic CAR T immunotherapy,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vivo </w:t>
      </w:r>
      <w:r>
        <w:rPr>
          <w:rFonts w:ascii="Arial" w:cs="Arial" w:eastAsia="Arial" w:hAnsi="Arial"/>
          <w:sz w:val="18"/>
          <w:szCs w:val="18"/>
          <w:color w:val="auto"/>
        </w:rPr>
        <w:t>gene correction, and food. For more information regarding Precision, please visit www.precisionbiosciences.com.</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Nick Riddle</w:t>
      </w:r>
    </w:p>
    <w:p>
      <w:pPr>
        <w:spacing w:after="0"/>
        <w:rPr>
          <w:sz w:val="20"/>
          <w:szCs w:val="20"/>
          <w:color w:val="auto"/>
        </w:rPr>
      </w:pPr>
      <w:r>
        <w:rPr>
          <w:rFonts w:ascii="Arial" w:cs="Arial" w:eastAsia="Arial" w:hAnsi="Arial"/>
          <w:sz w:val="20"/>
          <w:szCs w:val="20"/>
          <w:color w:val="auto"/>
        </w:rPr>
        <w:t>Precision BioSciences</w:t>
      </w:r>
    </w:p>
    <w:p>
      <w:pPr>
        <w:spacing w:after="0"/>
        <w:rPr>
          <w:sz w:val="20"/>
          <w:szCs w:val="20"/>
          <w:color w:val="auto"/>
        </w:rPr>
      </w:pPr>
      <w:r>
        <w:rPr>
          <w:rFonts w:ascii="Arial" w:cs="Arial" w:eastAsia="Arial" w:hAnsi="Arial"/>
          <w:sz w:val="20"/>
          <w:szCs w:val="20"/>
          <w:color w:val="auto"/>
        </w:rPr>
        <w:t>Tel. (919) 314-5512</w:t>
      </w:r>
    </w:p>
    <w:p>
      <w:pPr>
        <w:spacing w:after="0"/>
        <w:rPr>
          <w:sz w:val="20"/>
          <w:szCs w:val="20"/>
          <w:color w:val="auto"/>
        </w:rPr>
      </w:pPr>
      <w:r>
        <w:rPr>
          <w:rFonts w:ascii="Arial" w:cs="Arial" w:eastAsia="Arial" w:hAnsi="Arial"/>
          <w:sz w:val="20"/>
          <w:szCs w:val="20"/>
          <w:color w:val="auto"/>
        </w:rPr>
        <w:t>IR@precisionbiosciences.com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501650</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Media Contact:</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Cory Tromblee</w:t>
      </w:r>
    </w:p>
    <w:p>
      <w:pPr>
        <w:spacing w:after="0"/>
        <w:rPr>
          <w:sz w:val="20"/>
          <w:szCs w:val="20"/>
          <w:color w:val="auto"/>
        </w:rPr>
      </w:pPr>
      <w:r>
        <w:rPr>
          <w:rFonts w:ascii="Arial" w:cs="Arial" w:eastAsia="Arial" w:hAnsi="Arial"/>
          <w:sz w:val="17"/>
          <w:szCs w:val="17"/>
          <w:color w:val="auto"/>
        </w:rPr>
        <w:t>Scient Public Relations</w:t>
      </w:r>
    </w:p>
    <w:p>
      <w:pPr>
        <w:spacing w:after="0" w:line="18" w:lineRule="exact"/>
        <w:rPr>
          <w:sz w:val="20"/>
          <w:szCs w:val="20"/>
          <w:color w:val="auto"/>
        </w:rPr>
      </w:pPr>
    </w:p>
    <w:p>
      <w:pPr>
        <w:spacing w:after="0"/>
        <w:rPr>
          <w:sz w:val="20"/>
          <w:szCs w:val="20"/>
          <w:color w:val="auto"/>
        </w:rPr>
      </w:pPr>
      <w:r>
        <w:rPr>
          <w:rFonts w:ascii="Arial" w:cs="Arial" w:eastAsia="Arial" w:hAnsi="Arial"/>
          <w:sz w:val="19"/>
          <w:szCs w:val="19"/>
          <w:color w:val="auto"/>
        </w:rPr>
        <w:t>Tel. (617) 571-7220</w:t>
      </w:r>
    </w:p>
    <w:p>
      <w:pPr>
        <w:spacing w:after="0"/>
        <w:rPr>
          <w:sz w:val="20"/>
          <w:szCs w:val="20"/>
          <w:color w:val="auto"/>
        </w:rPr>
      </w:pPr>
      <w:r>
        <w:rPr>
          <w:rFonts w:ascii="Arial" w:cs="Arial" w:eastAsia="Arial" w:hAnsi="Arial"/>
          <w:sz w:val="19"/>
          <w:szCs w:val="19"/>
          <w:u w:val="single" w:color="auto"/>
          <w:color w:val="2F80D1"/>
        </w:rPr>
        <w:t>cory@scientpr.com</w:t>
      </w:r>
    </w:p>
    <w:sectPr>
      <w:pgSz w:w="11900" w:h="16838" w:orient="portrait"/>
      <w:cols w:equalWidth="0" w:num="1">
        <w:col w:w="10139"/>
      </w:cols>
      <w:pgMar w:left="320" w:top="83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2020-03-11T06:02:13Z</dcterms:created>
  <dcterms:modified xsi:type="dcterms:W3CDTF">2020-03-11T06:02:13Z</dcterms:modified>
</cp:coreProperties>
</file>