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60" w:right="180" w:hanging="552"/>
        <w:spacing w:after="0" w:line="237" w:lineRule="auto"/>
        <w:tabs>
          <w:tab w:leader="none" w:pos="56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2022</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7" w:lineRule="exact"/>
        <w:rPr>
          <w:sz w:val="24"/>
          <w:szCs w:val="24"/>
          <w:color w:val="auto"/>
        </w:rPr>
      </w:pPr>
    </w:p>
    <w:p>
      <w:pPr>
        <w:ind w:left="560" w:right="180" w:hanging="552"/>
        <w:spacing w:after="0" w:line="262" w:lineRule="auto"/>
        <w:tabs>
          <w:tab w:leader="none" w:pos="56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001-38841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Precision BioSciences,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tbl>
      <w:tblPr>
        <w:tblLayout w:type="fixed"/>
        <w:tblInd w:w="1480" w:type="dxa"/>
        <w:tblCellMar>
          <w:top w:w="0" w:type="dxa"/>
          <w:left w:w="0" w:type="dxa"/>
          <w:bottom w:w="0" w:type="dxa"/>
          <w:right w:w="0" w:type="dxa"/>
        </w:tblCellMar>
      </w:tblPr>
      <w:tr>
        <w:trPr>
          <w:trHeight w:val="214"/>
        </w:trPr>
        <w:tc>
          <w:tcPr>
            <w:tcW w:w="6080" w:type="dxa"/>
            <w:vAlign w:val="bottom"/>
          </w:tcPr>
          <w:p>
            <w:pPr>
              <w:jc w:val="center"/>
              <w:ind w:right="33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20-4206017</w:t>
            </w:r>
          </w:p>
        </w:tc>
      </w:tr>
      <w:tr>
        <w:trPr>
          <w:trHeight w:val="148"/>
        </w:trPr>
        <w:tc>
          <w:tcPr>
            <w:tcW w:w="6080" w:type="dxa"/>
            <w:vAlign w:val="bottom"/>
          </w:tcPr>
          <w:p>
            <w:pPr>
              <w:jc w:val="center"/>
              <w:ind w:right="332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40" w:type="dxa"/>
            <w:vAlign w:val="bottom"/>
          </w:tcPr>
          <w:p>
            <w:pPr>
              <w:jc w:val="center"/>
              <w:ind w:left="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51"/>
        </w:trPr>
        <w:tc>
          <w:tcPr>
            <w:tcW w:w="6080" w:type="dxa"/>
            <w:vAlign w:val="bottom"/>
          </w:tcPr>
          <w:p>
            <w:pPr>
              <w:jc w:val="center"/>
              <w:ind w:right="3321"/>
              <w:spacing w:after="0" w:line="151"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40" w:type="dxa"/>
            <w:vAlign w:val="bottom"/>
          </w:tcPr>
          <w:p>
            <w:pPr>
              <w:jc w:val="center"/>
              <w:ind w:left="221"/>
              <w:spacing w:after="0" w:line="151" w:lineRule="exact"/>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16"/>
        </w:trPr>
        <w:tc>
          <w:tcPr>
            <w:tcW w:w="6080" w:type="dxa"/>
            <w:vAlign w:val="bottom"/>
          </w:tcPr>
          <w:p>
            <w:pPr>
              <w:jc w:val="center"/>
              <w:ind w:right="3321"/>
              <w:spacing w:after="0"/>
              <w:rPr>
                <w:sz w:val="20"/>
                <w:szCs w:val="20"/>
                <w:color w:val="auto"/>
              </w:rPr>
            </w:pPr>
            <w:r>
              <w:rPr>
                <w:rFonts w:ascii="Times New Roman" w:cs="Times New Roman" w:eastAsia="Times New Roman" w:hAnsi="Times New Roman"/>
                <w:sz w:val="18"/>
                <w:szCs w:val="18"/>
                <w:b w:val="1"/>
                <w:bCs w:val="1"/>
                <w:color w:val="auto"/>
              </w:rPr>
              <w:t>302 East Pettigrew St., Suite A-100</w:t>
            </w:r>
          </w:p>
        </w:tc>
        <w:tc>
          <w:tcPr>
            <w:tcW w:w="1440" w:type="dxa"/>
            <w:vAlign w:val="bottom"/>
          </w:tcPr>
          <w:p>
            <w:pPr>
              <w:spacing w:after="0"/>
              <w:rPr>
                <w:sz w:val="18"/>
                <w:szCs w:val="18"/>
                <w:color w:val="auto"/>
              </w:rPr>
            </w:pPr>
          </w:p>
        </w:tc>
      </w:tr>
      <w:tr>
        <w:trPr>
          <w:trHeight w:val="214"/>
        </w:trPr>
        <w:tc>
          <w:tcPr>
            <w:tcW w:w="6080" w:type="dxa"/>
            <w:vAlign w:val="bottom"/>
          </w:tcPr>
          <w:p>
            <w:pPr>
              <w:jc w:val="center"/>
              <w:ind w:right="3321"/>
              <w:spacing w:after="0"/>
              <w:rPr>
                <w:sz w:val="20"/>
                <w:szCs w:val="20"/>
                <w:color w:val="auto"/>
              </w:rPr>
            </w:pPr>
            <w:r>
              <w:rPr>
                <w:rFonts w:ascii="Times New Roman" w:cs="Times New Roman" w:eastAsia="Times New Roman" w:hAnsi="Times New Roman"/>
                <w:sz w:val="18"/>
                <w:szCs w:val="18"/>
                <w:b w:val="1"/>
                <w:bCs w:val="1"/>
                <w:color w:val="auto"/>
                <w:w w:val="99"/>
              </w:rPr>
              <w:t>Durham, North Carolina</w:t>
            </w:r>
          </w:p>
        </w:tc>
        <w:tc>
          <w:tcPr>
            <w:tcW w:w="14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27701</w:t>
            </w:r>
          </w:p>
        </w:tc>
      </w:tr>
      <w:tr>
        <w:trPr>
          <w:trHeight w:val="190"/>
        </w:trPr>
        <w:tc>
          <w:tcPr>
            <w:tcW w:w="6080" w:type="dxa"/>
            <w:vAlign w:val="bottom"/>
          </w:tcPr>
          <w:p>
            <w:pPr>
              <w:jc w:val="center"/>
              <w:ind w:right="33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4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88"/>
        </w:trPr>
        <w:tc>
          <w:tcPr>
            <w:tcW w:w="6080" w:type="dxa"/>
            <w:vAlign w:val="bottom"/>
          </w:tcPr>
          <w:p>
            <w:pPr>
              <w:jc w:val="right"/>
              <w:ind w:right="1401"/>
              <w:spacing w:after="0"/>
              <w:rPr>
                <w:sz w:val="20"/>
                <w:szCs w:val="20"/>
                <w:color w:val="auto"/>
              </w:rPr>
            </w:pPr>
            <w:r>
              <w:rPr>
                <w:rFonts w:ascii="Times New Roman" w:cs="Times New Roman" w:eastAsia="Times New Roman" w:hAnsi="Times New Roman"/>
                <w:sz w:val="14"/>
                <w:szCs w:val="14"/>
                <w:b w:val="1"/>
                <w:bCs w:val="1"/>
                <w:color w:val="auto"/>
              </w:rPr>
              <w:t>(919) 314-5512</w:t>
            </w:r>
          </w:p>
        </w:tc>
        <w:tc>
          <w:tcPr>
            <w:tcW w:w="1440" w:type="dxa"/>
            <w:vAlign w:val="bottom"/>
          </w:tcPr>
          <w:p>
            <w:pPr>
              <w:spacing w:after="0"/>
              <w:rPr>
                <w:sz w:val="16"/>
                <w:szCs w:val="16"/>
                <w:color w:val="auto"/>
              </w:rPr>
            </w:pPr>
          </w:p>
        </w:tc>
      </w:tr>
      <w:tr>
        <w:trPr>
          <w:trHeight w:val="190"/>
        </w:trPr>
        <w:tc>
          <w:tcPr>
            <w:tcW w:w="6080" w:type="dxa"/>
            <w:vAlign w:val="bottom"/>
          </w:tcPr>
          <w:p>
            <w:pPr>
              <w:jc w:val="center"/>
              <w:ind w:left="212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40" w:type="dxa"/>
            <w:vAlign w:val="bottom"/>
          </w:tcPr>
          <w:p>
            <w:pPr>
              <w:spacing w:after="0"/>
              <w:rPr>
                <w:sz w:val="16"/>
                <w:szCs w:val="16"/>
                <w:color w:val="auto"/>
              </w:rPr>
            </w:pPr>
          </w:p>
        </w:tc>
      </w:tr>
    </w:tbl>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38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3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438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Common Stock, par value $0.000005 per share</w:t>
            </w: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DTIL</w:t>
            </w:r>
          </w:p>
        </w:tc>
        <w:tc>
          <w:tcPr>
            <w:tcW w:w="436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59" w:lineRule="exact"/>
        <w:rPr>
          <w:sz w:val="24"/>
          <w:szCs w:val="24"/>
          <w:color w:val="auto"/>
        </w:rPr>
      </w:pPr>
    </w:p>
    <w:p>
      <w:pPr>
        <w:jc w:val="both"/>
        <w:ind w:firstLine="51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84" w:lineRule="exact"/>
        <w:tabs>
          <w:tab w:leader="none" w:pos="7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78" w:lineRule="exact"/>
        <w:rPr>
          <w:sz w:val="24"/>
          <w:szCs w:val="24"/>
          <w:color w:val="auto"/>
        </w:rPr>
      </w:pPr>
    </w:p>
    <w:p>
      <w:pPr>
        <w:ind w:right="180"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5" w:lineRule="exact"/>
        <w:rPr>
          <w:sz w:val="24"/>
          <w:szCs w:val="24"/>
          <w:color w:val="auto"/>
        </w:rPr>
      </w:pPr>
    </w:p>
    <w:p>
      <w:pPr>
        <w:jc w:val="both"/>
        <w:ind w:right="300" w:firstLine="51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80" w:type="dxa"/>
            <w:vAlign w:val="bottom"/>
            <w:vMerge w:val="restart"/>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51"/>
        </w:trPr>
        <w:tc>
          <w:tcPr>
            <w:tcW w:w="2300" w:type="dxa"/>
            <w:vAlign w:val="bottom"/>
          </w:tcPr>
          <w:p>
            <w:pPr>
              <w:spacing w:after="0"/>
              <w:rPr>
                <w:sz w:val="13"/>
                <w:szCs w:val="13"/>
                <w:color w:val="auto"/>
              </w:rPr>
            </w:pPr>
          </w:p>
        </w:tc>
        <w:tc>
          <w:tcPr>
            <w:tcW w:w="3280" w:type="dxa"/>
            <w:vAlign w:val="bottom"/>
            <w:vMerge w:val="continue"/>
          </w:tcPr>
          <w:p>
            <w:pPr>
              <w:spacing w:after="0"/>
              <w:rPr>
                <w:sz w:val="13"/>
                <w:szCs w:val="13"/>
                <w:color w:val="auto"/>
              </w:rPr>
            </w:pPr>
          </w:p>
        </w:tc>
        <w:tc>
          <w:tcPr>
            <w:tcW w:w="4740" w:type="dxa"/>
            <w:vAlign w:val="bottom"/>
          </w:tcPr>
          <w:p>
            <w:pPr>
              <w:spacing w:after="0"/>
              <w:rPr>
                <w:sz w:val="13"/>
                <w:szCs w:val="13"/>
                <w:color w:val="auto"/>
              </w:rPr>
            </w:pPr>
          </w:p>
        </w:tc>
        <w:tc>
          <w:tcPr>
            <w:tcW w:w="820" w:type="dxa"/>
            <w:vAlign w:val="bottom"/>
            <w:vMerge w:val="restart"/>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03"/>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30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474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bl>
    <w:p>
      <w:pPr>
        <w:spacing w:after="0" w:line="55" w:lineRule="exact"/>
        <w:rPr>
          <w:sz w:val="24"/>
          <w:szCs w:val="24"/>
          <w:color w:val="auto"/>
        </w:rPr>
      </w:pPr>
    </w:p>
    <w:p>
      <w:pPr>
        <w:jc w:val="both"/>
        <w:ind w:right="80"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520" w:right="2200"/>
        <w:spacing w:after="0" w:line="26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3, 2022, the registrant had </w:t>
      </w:r>
      <w:r>
        <w:rPr>
          <w:rFonts w:ascii="Times New Roman" w:cs="Times New Roman" w:eastAsia="Times New Roman" w:hAnsi="Times New Roman"/>
          <w:sz w:val="17"/>
          <w:szCs w:val="17"/>
          <w:color w:val="auto"/>
        </w:rPr>
        <w:t>110,818,008</w:t>
      </w:r>
      <w:r>
        <w:rPr>
          <w:rFonts w:ascii="Times New Roman" w:cs="Times New Roman" w:eastAsia="Times New Roman" w:hAnsi="Times New Roman"/>
          <w:sz w:val="16"/>
          <w:szCs w:val="16"/>
          <w:color w:val="auto"/>
        </w:rPr>
        <w:t xml:space="preserve"> shares of common stock, $0.000005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536575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4"/>
                <w:szCs w:val="24"/>
                <w:color w:val="auto"/>
              </w:rPr>
            </w:pPr>
          </w:p>
        </w:tc>
        <w:tc>
          <w:tcPr>
            <w:tcW w:w="930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7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9300" w:type="dxa"/>
            <w:vAlign w:val="bottom"/>
            <w:gridSpan w:val="21"/>
            <w:vMerge w:val="continue"/>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58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Risk Factor Summary</w:t>
            </w:r>
          </w:p>
        </w:tc>
        <w:tc>
          <w:tcPr>
            <w:tcW w:w="520" w:type="dxa"/>
            <w:vAlign w:val="bottom"/>
            <w:tcBorders>
              <w:top w:val="single" w:sz="8" w:color="0000EE"/>
            </w:tcBorders>
            <w:gridSpan w:val="3"/>
          </w:tcPr>
          <w:p>
            <w:pPr>
              <w:spacing w:after="0"/>
              <w:rPr>
                <w:sz w:val="18"/>
                <w:szCs w:val="18"/>
                <w:color w:val="auto"/>
              </w:rPr>
            </w:pPr>
          </w:p>
        </w:tc>
        <w:tc>
          <w:tcPr>
            <w:tcW w:w="720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Financial Statements</w:t>
            </w:r>
          </w:p>
        </w:tc>
        <w:tc>
          <w:tcPr>
            <w:tcW w:w="740" w:type="dxa"/>
            <w:vAlign w:val="bottom"/>
            <w:tcBorders>
              <w:top w:val="single" w:sz="8" w:color="0000EE"/>
            </w:tcBorders>
            <w:gridSpan w:val="5"/>
          </w:tcPr>
          <w:p>
            <w:pPr>
              <w:spacing w:after="0"/>
              <w:rPr>
                <w:sz w:val="18"/>
                <w:szCs w:val="18"/>
                <w:color w:val="auto"/>
              </w:rPr>
            </w:pPr>
          </w:p>
        </w:tc>
        <w:tc>
          <w:tcPr>
            <w:tcW w:w="706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36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w:t>
            </w:r>
          </w:p>
        </w:tc>
        <w:tc>
          <w:tcPr>
            <w:tcW w:w="56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52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w:t>
            </w:r>
          </w:p>
        </w:tc>
        <w:tc>
          <w:tcPr>
            <w:tcW w:w="406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9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vMerge w:val="continue"/>
          </w:tcPr>
          <w:p>
            <w:pPr>
              <w:spacing w:after="0"/>
              <w:rPr>
                <w:sz w:val="18"/>
                <w:szCs w:val="18"/>
                <w:color w:val="auto"/>
              </w:rPr>
            </w:pPr>
          </w:p>
        </w:tc>
        <w:tc>
          <w:tcPr>
            <w:tcW w:w="18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742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98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tcBorders>
              <w:top w:val="single" w:sz="8" w:color="0000EE"/>
            </w:tcBorders>
            <w:gridSpan w:val="4"/>
          </w:tcPr>
          <w:p>
            <w:pPr>
              <w:spacing w:after="0"/>
              <w:rPr>
                <w:sz w:val="18"/>
                <w:szCs w:val="18"/>
                <w:color w:val="auto"/>
              </w:rPr>
            </w:pPr>
          </w:p>
        </w:tc>
        <w:tc>
          <w:tcPr>
            <w:tcW w:w="49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754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tcBorders>
              <w:top w:val="single" w:sz="8" w:color="0000EE"/>
            </w:tcBorders>
            <w:gridSpan w:val="3"/>
          </w:tcPr>
          <w:p>
            <w:pPr>
              <w:spacing w:after="0"/>
              <w:rPr>
                <w:sz w:val="18"/>
                <w:szCs w:val="18"/>
                <w:color w:val="auto"/>
              </w:rPr>
            </w:pPr>
          </w:p>
        </w:tc>
        <w:tc>
          <w:tcPr>
            <w:tcW w:w="800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7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8540" w:type="dxa"/>
            <w:vAlign w:val="bottom"/>
            <w:gridSpan w:val="19"/>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present and historical facts contained in this Quarterly Report on Form 10-Q, including without limitation, statements regarding our future results of operations and financial position, business strategy and approach, including related results, prospective products, use and development of Licensed Products (as defined herein), planned preclinical studies and clinical trials, or discontinuance thereof, the status and results of our preclinical and clinical studies, including, the potential of our product candidates, if approved, to become best-in-class or first-in-class, expected release of interim data, expectations regarding our allogeneic chimeric antigen receptor T cell immunotherapy product candidates, expectations regarding the use and effects of ARCUS, including in connection with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genome editing, collaborations and potential new partnerships or alternative opportunities for our product candidates, capabilities of our manufacturing facility, potential new application filings and regulatory approvals, research and development costs, timing, expected results and likelihood of success, plans and objectives of management for future operations, as well as the impact of the COVID-19 pandemic and variants thereof may be forward-looking statements. Without limiting the foregoing, in some cases, you can identify forward-looking statements by terms such as “aim,”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spacing w:after="0" w:line="19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II. Item 1A. “Risk Factors” and Part I. Item 2. “Management’s Discussion and Analysis of Financial Condition and Results of Operations.” These risks and uncertainties include, but are not limited to:</w:t>
      </w:r>
    </w:p>
    <w:p>
      <w:pPr>
        <w:spacing w:after="0" w:line="143" w:lineRule="exact"/>
        <w:rPr>
          <w:sz w:val="20"/>
          <w:szCs w:val="20"/>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become profitable;</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procure sufficient funding and requirements under our current debt instruments and effects of restrictions thereunder;</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raising additional capital;</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expenses and our ability to predict what those expenses will be;</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programs and product candidates in which we expend our resources;</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ability or inability to assess the safety and efficacy of our product candidates</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ARCUS technology;</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other genome-editing technologies may provide significant advantages over our ARCUS technology;</w:t>
      </w:r>
    </w:p>
    <w:p>
      <w:pPr>
        <w:spacing w:after="0" w:line="198" w:lineRule="exact"/>
        <w:rPr>
          <w:rFonts w:ascii="Times New Roman" w:cs="Times New Roman" w:eastAsia="Times New Roman" w:hAnsi="Times New Roman"/>
          <w:sz w:val="18"/>
          <w:szCs w:val="18"/>
          <w:color w:val="auto"/>
        </w:rPr>
      </w:pPr>
    </w:p>
    <w:p>
      <w:pPr>
        <w:ind w:left="740" w:right="280" w:hanging="368"/>
        <w:spacing w:after="0" w:line="282"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cost, timing, progress, achievement of milestones and results of research and development activities and preclinical and clinical studies;</w:t>
      </w:r>
    </w:p>
    <w:p>
      <w:pPr>
        <w:spacing w:after="0" w:line="12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about genome editing technology and its applications;</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genome editing, biopharmaceutical, and biotechnology fields;</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collaborators’ ability to identify, develop and commercialize product candidates;</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potential liability lawsuits and penalties against us or our collaborators related to our technology and our product candidates;</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and foreign regulatory landscape applicable to our and our collaborators’ development of product candidates;</w:t>
      </w: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3" w:name="page4"/>
    <w:bookmarkEnd w:id="3"/>
    <w:p>
      <w:pPr>
        <w:ind w:left="740" w:right="340" w:hanging="368"/>
        <w:spacing w:after="0" w:line="282" w:lineRule="auto"/>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collaborators’ ability to obtain and maintain regulatory approval of our product candidates, and any related restrictions, limitations and/or warnings in the label of an approved product candidate;</w:t>
      </w:r>
    </w:p>
    <w:p>
      <w:pPr>
        <w:spacing w:after="0" w:line="12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collaborators’ ability to advance product candidates into, and successfully design, implement and complete, clinical trials;</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manufacturing problems associated with the development or commercialization of any of our product candidates;</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 adequate supply of T cells from qualified donors;</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anticipated operating efficiencies at our manufacturing facility;</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our and our collaborators’ ability to enroll patients;</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interim “top-line” and initial data that we announce or publish;</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 candidates do not work as intended or cause undesirable side effects;</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applicable healthcare, data protection, privacy and security regulations and our compliance therewith;</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any of our product candidates;</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existing collaboration agreements and our ability to enter into new collaboration arrangements;</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relationships with and reliance on third parties including suppliers and manufacturers;</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technology and any of our product candidates;</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relating to infringement or misappropriation of intellectual property rights;</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the growth of our operations;</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motivate executives and personnel;</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economic conditions;</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system failures and security breaches;</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natural and manmade disasters, public health emergencies and other natural catastrophic events;</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the COVID-19 pandemic and variants thereof, or any pandemic, epidemic, or outbreak of an infectious disease;</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sustained inflation, supply chain disruptions and major central bank policy actions;</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expenses and exposure to uninsured liabilities;</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tax rules; and</w:t>
      </w:r>
    </w:p>
    <w:p>
      <w:pPr>
        <w:spacing w:after="0" w:line="19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ownership of our common stock, including fluctuations in our stock price.</w:t>
      </w:r>
    </w:p>
    <w:p>
      <w:pPr>
        <w:spacing w:after="0" w:line="23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herein completely and with the understanding that our actual future results may be materially different from what we expect. We qualify all of our forward-looking statements by these cautionary statements. All forward-looking statements contained herein speak only as of the date of this Quarterly Report on Form 10-Q. Except as required by applicable law, we do not plan to publicly update or revise any forward-looking statements contained herein, whether as a result of any new information, future events, changed circumstances or otherwise.</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used in this Quarterly Report on Form 10-Qs, unless otherwise stated or the context requires otherwise, references to “Precision,” the “Company,” “we,” “us,” and “our,” refer to Precision BioSciences, Inc. and its subsidiaries on a consolidated basis.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II. Item 1A. “Risk Factors” in this Quarterly Report on Form 10-Q. You should carefully consider these risks and uncertainties when investing in our common stock. Some of the principal risks and uncertainties include the following.</w:t>
      </w:r>
    </w:p>
    <w:p>
      <w:pPr>
        <w:spacing w:after="0" w:line="133" w:lineRule="exact"/>
        <w:rPr>
          <w:sz w:val="20"/>
          <w:szCs w:val="20"/>
          <w:color w:val="auto"/>
        </w:rPr>
      </w:pPr>
    </w:p>
    <w:p>
      <w:pPr>
        <w:ind w:left="740" w:right="220" w:hanging="368"/>
        <w:spacing w:after="0" w:line="284"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incurred significant operating losses since our inception and expect to continue to incur losses for the foreseeable future. We have not been profitable and may not achieve or maintain profitability.</w:t>
      </w:r>
    </w:p>
    <w:p>
      <w:pPr>
        <w:spacing w:after="0" w:line="117" w:lineRule="exact"/>
        <w:rPr>
          <w:rFonts w:ascii="Times New Roman" w:cs="Times New Roman" w:eastAsia="Times New Roman" w:hAnsi="Times New Roman"/>
          <w:sz w:val="18"/>
          <w:szCs w:val="18"/>
          <w:color w:val="auto"/>
        </w:rPr>
      </w:pPr>
    </w:p>
    <w:p>
      <w:pPr>
        <w:jc w:val="both"/>
        <w:ind w:left="740" w:right="140" w:hanging="368"/>
        <w:spacing w:after="0" w:line="267"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will need substantial additional funding, and if we are unable to raise a sufficient amount of capital when needed on acceptable terms, or at all, we may be forced to delay, reduce or eliminate some or all of our research programs, product development activities and commercialization efforts.</w:t>
      </w:r>
    </w:p>
    <w:p>
      <w:pPr>
        <w:spacing w:after="0" w:line="132" w:lineRule="exact"/>
        <w:rPr>
          <w:rFonts w:ascii="Times New Roman" w:cs="Times New Roman" w:eastAsia="Times New Roman" w:hAnsi="Times New Roman"/>
          <w:sz w:val="18"/>
          <w:szCs w:val="18"/>
          <w:color w:val="auto"/>
        </w:rPr>
      </w:pPr>
    </w:p>
    <w:p>
      <w:pPr>
        <w:ind w:left="740" w:right="240" w:hanging="368"/>
        <w:spacing w:after="0" w:line="284"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have a limited operating history, which makes it difficult to evaluate our current business and future prospects and may increase the risk of your investment.</w:t>
      </w:r>
    </w:p>
    <w:p>
      <w:pPr>
        <w:spacing w:after="0" w:line="117" w:lineRule="exact"/>
        <w:rPr>
          <w:rFonts w:ascii="Times New Roman" w:cs="Times New Roman" w:eastAsia="Times New Roman" w:hAnsi="Times New Roman"/>
          <w:sz w:val="18"/>
          <w:szCs w:val="18"/>
          <w:color w:val="auto"/>
        </w:rPr>
      </w:pPr>
    </w:p>
    <w:p>
      <w:pPr>
        <w:ind w:left="740" w:right="80" w:hanging="368"/>
        <w:spacing w:after="0" w:line="267"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ARCUS is a novel technology, making it difficult to predict the time, cost and potential success of product candidate development. We have not yet been able to assess the safety and efficacy of most of our product candidates in humans and have only limited safety and efficacy information in humans to date regarding three of our product candidates.</w:t>
      </w:r>
    </w:p>
    <w:p>
      <w:pPr>
        <w:spacing w:after="0" w:line="132" w:lineRule="exact"/>
        <w:rPr>
          <w:rFonts w:ascii="Times New Roman" w:cs="Times New Roman" w:eastAsia="Times New Roman" w:hAnsi="Times New Roman"/>
          <w:sz w:val="18"/>
          <w:szCs w:val="18"/>
          <w:color w:val="auto"/>
        </w:rPr>
      </w:pPr>
    </w:p>
    <w:p>
      <w:pPr>
        <w:ind w:left="740" w:right="440" w:hanging="368"/>
        <w:spacing w:after="0" w:line="284"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are heavily dependent on the successful development and translation of ARCUS, and due to the early stages of our product development operations, we cannot give any assurance that any product candidates will be successfully developed and commercialized.</w:t>
      </w:r>
    </w:p>
    <w:p>
      <w:pPr>
        <w:spacing w:after="0" w:line="117" w:lineRule="exact"/>
        <w:rPr>
          <w:rFonts w:ascii="Times New Roman" w:cs="Times New Roman" w:eastAsia="Times New Roman" w:hAnsi="Times New Roman"/>
          <w:sz w:val="18"/>
          <w:szCs w:val="18"/>
          <w:color w:val="auto"/>
        </w:rPr>
      </w:pPr>
    </w:p>
    <w:p>
      <w:pPr>
        <w:ind w:left="740" w:right="500" w:hanging="368"/>
        <w:spacing w:after="0" w:line="284"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Adverse public perception of genome editing may negatively impact the developmental progress or commercial success of products that we develop alone or with collaborators.</w:t>
      </w:r>
    </w:p>
    <w:p>
      <w:pPr>
        <w:spacing w:after="0" w:line="117" w:lineRule="exact"/>
        <w:rPr>
          <w:rFonts w:ascii="Times New Roman" w:cs="Times New Roman" w:eastAsia="Times New Roman" w:hAnsi="Times New Roman"/>
          <w:sz w:val="18"/>
          <w:szCs w:val="18"/>
          <w:color w:val="auto"/>
        </w:rPr>
      </w:pPr>
    </w:p>
    <w:p>
      <w:pPr>
        <w:ind w:left="740" w:hanging="368"/>
        <w:spacing w:after="0" w:line="267"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face significant competition in industries experiencing rapid technological change, and there is a possibility that our competitors may achieve regulatory approval before us or develop product candidates or treatments that are safer or more effective than ours, which may harm our financial condition and our ability to successfully market or commercialize any of our product candidates.</w:t>
      </w:r>
    </w:p>
    <w:p>
      <w:pPr>
        <w:spacing w:after="0" w:line="132" w:lineRule="exact"/>
        <w:rPr>
          <w:rFonts w:ascii="Times New Roman" w:cs="Times New Roman" w:eastAsia="Times New Roman" w:hAnsi="Times New Roman"/>
          <w:sz w:val="18"/>
          <w:szCs w:val="18"/>
          <w:color w:val="auto"/>
        </w:rPr>
      </w:pPr>
    </w:p>
    <w:p>
      <w:pPr>
        <w:ind w:left="740" w:right="120" w:hanging="368"/>
        <w:spacing w:after="0" w:line="267"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future profitability, if any, will depend in part on our ability and the ability of our collaborators to commercialize any products that we or our collaborators may develop in markets throughout the world. Commercialization of products in various markets could subject us to risks and uncertainties.</w:t>
      </w:r>
    </w:p>
    <w:p>
      <w:pPr>
        <w:spacing w:after="0" w:line="132" w:lineRule="exact"/>
        <w:rPr>
          <w:rFonts w:ascii="Times New Roman" w:cs="Times New Roman" w:eastAsia="Times New Roman" w:hAnsi="Times New Roman"/>
          <w:sz w:val="18"/>
          <w:szCs w:val="18"/>
          <w:color w:val="auto"/>
        </w:rPr>
      </w:pPr>
    </w:p>
    <w:p>
      <w:pPr>
        <w:ind w:left="740" w:right="400" w:hanging="368"/>
        <w:spacing w:after="0" w:line="284"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liability lawsuits against us could cause us to incur substantial liabilities and could limit commercialization of any products that we develop alone or with collaborators.</w:t>
      </w:r>
    </w:p>
    <w:p>
      <w:pPr>
        <w:spacing w:after="0" w:line="117" w:lineRule="exact"/>
        <w:rPr>
          <w:rFonts w:ascii="Times New Roman" w:cs="Times New Roman" w:eastAsia="Times New Roman" w:hAnsi="Times New Roman"/>
          <w:sz w:val="18"/>
          <w:szCs w:val="18"/>
          <w:color w:val="auto"/>
        </w:rPr>
      </w:pPr>
    </w:p>
    <w:p>
      <w:pPr>
        <w:ind w:left="740" w:right="240" w:hanging="368"/>
        <w:spacing w:after="0" w:line="267"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regulatory landscape that will apply to development of therapeutic product candidates by us or our collaborators is rigorous, complex, uncertain and subject to change, which could result in delays or termination of development of such product candidates or unexpected costs in obtaining regulatory approvals.</w:t>
      </w:r>
    </w:p>
    <w:p>
      <w:pPr>
        <w:spacing w:after="0" w:line="132" w:lineRule="exact"/>
        <w:rPr>
          <w:rFonts w:ascii="Times New Roman" w:cs="Times New Roman" w:eastAsia="Times New Roman" w:hAnsi="Times New Roman"/>
          <w:sz w:val="18"/>
          <w:szCs w:val="18"/>
          <w:color w:val="auto"/>
        </w:rPr>
      </w:pPr>
    </w:p>
    <w:p>
      <w:pPr>
        <w:ind w:left="740" w:right="80" w:hanging="368"/>
        <w:spacing w:after="0" w:line="315" w:lineRule="auto"/>
        <w:tabs>
          <w:tab w:leader="none" w:pos="7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Clinical trials are difficult to design and implement, expensive, time-consuming and involve an uncertain outcome, and the inability to successfully and timely conduct clinical trials and obtain regulatory approval for our product candidates would substantially harm our business.</w:t>
      </w:r>
    </w:p>
    <w:p>
      <w:pPr>
        <w:spacing w:after="0" w:line="94" w:lineRule="exact"/>
        <w:rPr>
          <w:rFonts w:ascii="Times New Roman" w:cs="Times New Roman" w:eastAsia="Times New Roman" w:hAnsi="Times New Roman"/>
          <w:sz w:val="17"/>
          <w:szCs w:val="17"/>
          <w:color w:val="auto"/>
        </w:rPr>
      </w:pPr>
    </w:p>
    <w:p>
      <w:pPr>
        <w:ind w:left="740" w:right="380" w:hanging="368"/>
        <w:spacing w:after="0" w:line="267"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Any product candidates that we or our collaborators may develop will be novel and may be complex and difficult to manufacture, and if we experience manufacturing problems, it could result in delays in development and commercialization of such product candidates or otherwise harm our business.</w:t>
      </w:r>
    </w:p>
    <w:p>
      <w:pPr>
        <w:spacing w:after="0" w:line="132" w:lineRule="exact"/>
        <w:rPr>
          <w:rFonts w:ascii="Times New Roman" w:cs="Times New Roman" w:eastAsia="Times New Roman" w:hAnsi="Times New Roman"/>
          <w:sz w:val="18"/>
          <w:szCs w:val="18"/>
          <w:color w:val="auto"/>
        </w:rPr>
      </w:pPr>
    </w:p>
    <w:p>
      <w:pPr>
        <w:ind w:left="740" w:hanging="368"/>
        <w:spacing w:after="0" w:line="284"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Even if we obtain regulatory approval for any products that we develop alone or with collaborators, such products will remain subject to ongoing regulatory requirements, which may result in significant additional expense.</w:t>
      </w:r>
    </w:p>
    <w:p>
      <w:pPr>
        <w:spacing w:after="0" w:line="117" w:lineRule="exact"/>
        <w:rPr>
          <w:rFonts w:ascii="Times New Roman" w:cs="Times New Roman" w:eastAsia="Times New Roman" w:hAnsi="Times New Roman"/>
          <w:sz w:val="18"/>
          <w:szCs w:val="18"/>
          <w:color w:val="auto"/>
        </w:rPr>
      </w:pPr>
    </w:p>
    <w:p>
      <w:pPr>
        <w:ind w:left="740" w:right="180" w:hanging="368"/>
        <w:spacing w:after="0" w:line="284" w:lineRule="auto"/>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Even if any product we develop alone or with collaborators receives marketing approval, such product may fail to achieve the degree of market acceptance by physicians, patients, healthcare payors and others in the medical community necessary for commercial success.</w:t>
      </w:r>
    </w:p>
    <w:p>
      <w:pPr>
        <w:spacing w:after="0" w:line="158" w:lineRule="exact"/>
        <w:rPr>
          <w:rFonts w:ascii="Times New Roman" w:cs="Times New Roman" w:eastAsia="Times New Roman" w:hAnsi="Times New Roman"/>
          <w:sz w:val="18"/>
          <w:szCs w:val="18"/>
          <w:color w:val="auto"/>
        </w:rPr>
      </w:pPr>
    </w:p>
    <w:p>
      <w:pPr>
        <w:ind w:left="740" w:right="140" w:hanging="368"/>
        <w:spacing w:after="0" w:line="315" w:lineRule="auto"/>
        <w:tabs>
          <w:tab w:leader="none" w:pos="7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The ongoing novel coronavirus disease, COVID-19 has impacted, and may continue to impact, our business, and any other pandemic, epidemic or outbreak of an infectious disease may materially and adversely impact our business, including our preclinical studies and clinical trials.</w:t>
      </w:r>
    </w:p>
    <w:p>
      <w:pPr>
        <w:spacing w:after="0" w:line="134" w:lineRule="exact"/>
        <w:rPr>
          <w:rFonts w:ascii="Times New Roman" w:cs="Times New Roman" w:eastAsia="Times New Roman" w:hAnsi="Times New Roman"/>
          <w:sz w:val="17"/>
          <w:szCs w:val="17"/>
          <w:color w:val="auto"/>
        </w:rPr>
      </w:pPr>
    </w:p>
    <w:p>
      <w:pPr>
        <w:ind w:left="740" w:hanging="368"/>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future success depends on our key executives, as well as attracting, retaining and motivating qualified personnel.</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PRECISION BIOSCIENCES,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23"/>
        </w:trPr>
        <w:tc>
          <w:tcPr>
            <w:tcW w:w="72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184,135</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247,692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Property, equipment, and software—net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assets—net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assets—net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 equity securities</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 receivable—net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297,163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211,498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60" w:type="dxa"/>
            <w:vAlign w:val="bottom"/>
          </w:tcPr>
          <w:p>
            <w:pPr>
              <w:spacing w:after="0"/>
              <w:rPr>
                <w:sz w:val="19"/>
                <w:szCs w:val="19"/>
                <w:color w:val="auto"/>
              </w:rPr>
            </w:pP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clinical and research and development expenses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Lease liabilities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53,923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104,048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 term debt—net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194,140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120,330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$0.0001 par value— 10,000,000 shares authorized as of June 30, 2022 and</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2021; no shares issued and outstanding as of June 30, 2022 and December 31, 2021</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$0.000005 par value— 200,000,000 shares authorized as of June 30, 2022 and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2021; 111,605,505 shares issued and 110,795,033 shares outstanding as of June 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2022; 61,712,577 shares issued and 60,902,105 shares outstanding as of December 31, 2021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479,853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408,795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(375,878)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(316,675)</w:t>
            </w: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103,023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91,168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297,163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211,498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PRECISION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80" w:type="dxa"/>
            <w:vAlign w:val="bottom"/>
          </w:tcPr>
          <w:p>
            <w:pPr>
              <w:spacing w:after="0"/>
              <w:rPr>
                <w:sz w:val="15"/>
                <w:szCs w:val="15"/>
                <w:color w:val="auto"/>
              </w:rPr>
            </w:pPr>
          </w:p>
        </w:tc>
        <w:tc>
          <w:tcPr>
            <w:tcW w:w="266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56"/>
        </w:trPr>
        <w:tc>
          <w:tcPr>
            <w:tcW w:w="472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68,805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85,154</w:t>
            </w:r>
          </w:p>
        </w:tc>
        <w:tc>
          <w:tcPr>
            <w:tcW w:w="120" w:type="dxa"/>
            <w:vAlign w:val="bottom"/>
            <w:shd w:val="clear" w:color="auto" w:fill="CFF0FC"/>
          </w:tcPr>
          <w:p>
            <w:pPr>
              <w:spacing w:after="0"/>
              <w:rPr>
                <w:sz w:val="19"/>
                <w:szCs w:val="19"/>
                <w:color w:val="auto"/>
              </w:rPr>
            </w:pP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37,235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42,908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62,828</w:t>
            </w:r>
          </w:p>
        </w:tc>
        <w:tc>
          <w:tcPr>
            <w:tcW w:w="120" w:type="dxa"/>
            <w:vAlign w:val="bottom"/>
            <w:shd w:val="clear" w:color="auto" w:fill="CFF0FC"/>
          </w:tcPr>
          <w:p>
            <w:pPr>
              <w:spacing w:after="0"/>
              <w:rPr>
                <w:sz w:val="19"/>
                <w:szCs w:val="19"/>
                <w:color w:val="auto"/>
              </w:rPr>
            </w:pPr>
          </w:p>
        </w:tc>
      </w:tr>
      <w:tr>
        <w:trPr>
          <w:trHeight w:val="229"/>
        </w:trPr>
        <w:tc>
          <w:tcPr>
            <w:tcW w:w="4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9,938</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19,436</w:t>
            </w:r>
          </w:p>
        </w:tc>
        <w:tc>
          <w:tcPr>
            <w:tcW w:w="120" w:type="dxa"/>
            <w:vAlign w:val="bottom"/>
            <w:tcBorders>
              <w:bottom w:val="single" w:sz="8" w:color="CFF0FC"/>
            </w:tcBorders>
          </w:tcPr>
          <w:p>
            <w:pPr>
              <w:spacing w:after="0"/>
              <w:rPr>
                <w:sz w:val="19"/>
                <w:szCs w:val="19"/>
                <w:color w:val="auto"/>
              </w:rPr>
            </w:pPr>
          </w:p>
        </w:tc>
      </w:tr>
      <w:tr>
        <w:trPr>
          <w:trHeight w:val="223"/>
        </w:trPr>
        <w:tc>
          <w:tcPr>
            <w:tcW w:w="4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33,421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47,173</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64,084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82,264</w:t>
            </w:r>
          </w:p>
        </w:tc>
        <w:tc>
          <w:tcPr>
            <w:tcW w:w="120" w:type="dxa"/>
            <w:vAlign w:val="bottom"/>
            <w:shd w:val="clear" w:color="auto" w:fill="CFF0FC"/>
          </w:tcPr>
          <w:p>
            <w:pPr>
              <w:spacing w:after="0"/>
              <w:rPr>
                <w:sz w:val="19"/>
                <w:szCs w:val="19"/>
                <w:color w:val="auto"/>
              </w:rPr>
            </w:pPr>
          </w:p>
        </w:tc>
      </w:tr>
      <w:tr>
        <w:trPr>
          <w:trHeight w:val="223"/>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120" w:type="dxa"/>
            <w:vAlign w:val="bottom"/>
          </w:tcPr>
          <w:p>
            <w:pPr>
              <w:spacing w:after="0"/>
              <w:rPr>
                <w:sz w:val="19"/>
                <w:szCs w:val="19"/>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4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7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FF0FC"/>
            </w:tcBorders>
          </w:tcPr>
          <w:p>
            <w:pPr>
              <w:spacing w:after="0"/>
              <w:rPr>
                <w:sz w:val="19"/>
                <w:szCs w:val="19"/>
                <w:color w:val="auto"/>
              </w:rPr>
            </w:pPr>
          </w:p>
        </w:tc>
      </w:tr>
      <w:tr>
        <w:trPr>
          <w:trHeight w:val="223"/>
        </w:trPr>
        <w:tc>
          <w:tcPr>
            <w:tcW w:w="4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7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FF0FC"/>
          </w:tcPr>
          <w:p>
            <w:pPr>
              <w:spacing w:after="0"/>
              <w:rPr>
                <w:sz w:val="19"/>
                <w:szCs w:val="19"/>
                <w:color w:val="auto"/>
              </w:rPr>
            </w:pPr>
          </w:p>
        </w:tc>
      </w:tr>
      <w:tr>
        <w:trPr>
          <w:trHeight w:val="263"/>
        </w:trPr>
        <w:tc>
          <w:tcPr>
            <w:tcW w:w="4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7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(31,035)</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21,656</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(59,203)</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20" w:type="dxa"/>
            <w:vAlign w:val="bottom"/>
            <w:tcBorders>
              <w:bottom w:val="single" w:sz="8" w:color="CFF0FC"/>
            </w:tcBorders>
          </w:tcPr>
          <w:p>
            <w:pPr>
              <w:spacing w:after="0"/>
              <w:rPr>
                <w:sz w:val="22"/>
                <w:szCs w:val="22"/>
                <w:color w:val="auto"/>
              </w:rPr>
            </w:pPr>
          </w:p>
        </w:tc>
      </w:tr>
      <w:tr>
        <w:trPr>
          <w:trHeight w:val="210"/>
        </w:trPr>
        <w:tc>
          <w:tcPr>
            <w:tcW w:w="47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share</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(0.46)</w:t>
            </w:r>
          </w:p>
        </w:tc>
        <w:tc>
          <w:tcPr>
            <w:tcW w:w="34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(0.92)</w:t>
            </w:r>
          </w:p>
        </w:tc>
        <w:tc>
          <w:tcPr>
            <w:tcW w:w="36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FF0FC"/>
          </w:tcPr>
          <w:p>
            <w:pPr>
              <w:spacing w:after="0"/>
              <w:rPr>
                <w:sz w:val="19"/>
                <w:szCs w:val="19"/>
                <w:color w:val="auto"/>
              </w:rPr>
            </w:pP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(0.46)</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(0.92)</w:t>
            </w: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9"/>
                <w:szCs w:val="19"/>
                <w:color w:val="auto"/>
              </w:rPr>
            </w:pPr>
          </w:p>
        </w:tc>
      </w:tr>
      <w:tr>
        <w:trPr>
          <w:trHeight w:val="230"/>
        </w:trPr>
        <w:tc>
          <w:tcPr>
            <w:tcW w:w="4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w:t>
            </w: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67,954,688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57,739,622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64,512,356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57,185,402</w:t>
            </w:r>
          </w:p>
        </w:tc>
        <w:tc>
          <w:tcPr>
            <w:tcW w:w="120" w:type="dxa"/>
            <w:vAlign w:val="bottom"/>
            <w:shd w:val="clear" w:color="auto" w:fill="CFF0FC"/>
          </w:tcPr>
          <w:p>
            <w:pPr>
              <w:spacing w:after="0"/>
              <w:rPr>
                <w:sz w:val="19"/>
                <w:szCs w:val="19"/>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67,954,688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59,841,638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64,512,356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59,647,367</w:t>
            </w:r>
          </w:p>
        </w:tc>
        <w:tc>
          <w:tcPr>
            <w:tcW w:w="120" w:type="dxa"/>
            <w:vAlign w:val="bottom"/>
          </w:tcPr>
          <w:p>
            <w:pPr>
              <w:spacing w:after="0"/>
              <w:rPr>
                <w:sz w:val="20"/>
                <w:szCs w:val="20"/>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PRECISION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38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jc w:val="center"/>
              <w:ind w:right="182"/>
              <w:spacing w:after="0"/>
              <w:rPr>
                <w:sz w:val="20"/>
                <w:szCs w:val="20"/>
                <w:color w:val="auto"/>
              </w:rPr>
            </w:pPr>
            <w:r>
              <w:rPr>
                <w:rFonts w:ascii="Times New Roman" w:cs="Times New Roman" w:eastAsia="Times New Roman" w:hAnsi="Times New Roman"/>
                <w:sz w:val="9"/>
                <w:szCs w:val="9"/>
                <w:b w:val="1"/>
                <w:bCs w:val="1"/>
                <w:color w:val="auto"/>
                <w:w w:val="97"/>
              </w:rPr>
              <w:t>Additional</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9"/>
                <w:szCs w:val="9"/>
                <w:b w:val="1"/>
                <w:bCs w:val="1"/>
                <w:color w:val="auto"/>
                <w:w w:val="87"/>
              </w:rPr>
              <w:t>Total</w:t>
            </w:r>
          </w:p>
        </w:tc>
        <w:tc>
          <w:tcPr>
            <w:tcW w:w="0" w:type="dxa"/>
            <w:vAlign w:val="bottom"/>
          </w:tcPr>
          <w:p>
            <w:pPr>
              <w:spacing w:after="0"/>
              <w:rPr>
                <w:sz w:val="1"/>
                <w:szCs w:val="1"/>
                <w:color w:val="auto"/>
              </w:rPr>
            </w:pPr>
          </w:p>
        </w:tc>
      </w:tr>
      <w:tr>
        <w:trPr>
          <w:trHeight w:val="106"/>
        </w:trPr>
        <w:tc>
          <w:tcPr>
            <w:tcW w:w="3860" w:type="dxa"/>
            <w:vAlign w:val="bottom"/>
          </w:tcPr>
          <w:p>
            <w:pPr>
              <w:spacing w:after="0"/>
              <w:rPr>
                <w:sz w:val="9"/>
                <w:szCs w:val="9"/>
                <w:color w:val="auto"/>
              </w:rPr>
            </w:pPr>
          </w:p>
        </w:tc>
        <w:tc>
          <w:tcPr>
            <w:tcW w:w="138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9"/>
                <w:szCs w:val="9"/>
                <w:b w:val="1"/>
                <w:bCs w:val="1"/>
                <w:color w:val="auto"/>
                <w:w w:val="97"/>
              </w:rPr>
              <w:t>Common Stock</w:t>
            </w: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jc w:val="center"/>
              <w:ind w:right="182"/>
              <w:spacing w:after="0"/>
              <w:rPr>
                <w:sz w:val="20"/>
                <w:szCs w:val="20"/>
                <w:color w:val="auto"/>
              </w:rPr>
            </w:pPr>
            <w:r>
              <w:rPr>
                <w:rFonts w:ascii="Times New Roman" w:cs="Times New Roman" w:eastAsia="Times New Roman" w:hAnsi="Times New Roman"/>
                <w:sz w:val="9"/>
                <w:szCs w:val="9"/>
                <w:b w:val="1"/>
                <w:bCs w:val="1"/>
                <w:color w:val="auto"/>
                <w:w w:val="96"/>
              </w:rPr>
              <w:t>Paid-In</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120" w:type="dxa"/>
            <w:vAlign w:val="bottom"/>
          </w:tcPr>
          <w:p>
            <w:pPr>
              <w:spacing w:after="0"/>
              <w:rPr>
                <w:sz w:val="9"/>
                <w:szCs w:val="9"/>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9"/>
                <w:szCs w:val="9"/>
                <w:b w:val="1"/>
                <w:bCs w:val="1"/>
                <w:color w:val="auto"/>
              </w:rPr>
              <w:t>Treasury</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9"/>
                <w:szCs w:val="9"/>
                <w:b w:val="1"/>
                <w:bCs w:val="1"/>
                <w:color w:val="auto"/>
              </w:rPr>
              <w:t>Stockholders'</w:t>
            </w:r>
          </w:p>
        </w:tc>
        <w:tc>
          <w:tcPr>
            <w:tcW w:w="0" w:type="dxa"/>
            <w:vAlign w:val="bottom"/>
          </w:tcPr>
          <w:p>
            <w:pPr>
              <w:spacing w:after="0"/>
              <w:rPr>
                <w:sz w:val="1"/>
                <w:szCs w:val="1"/>
                <w:color w:val="auto"/>
              </w:rPr>
            </w:pPr>
          </w:p>
        </w:tc>
      </w:tr>
      <w:tr>
        <w:trPr>
          <w:trHeight w:val="142"/>
        </w:trPr>
        <w:tc>
          <w:tcPr>
            <w:tcW w:w="3860" w:type="dxa"/>
            <w:vAlign w:val="bottom"/>
            <w:tcBorders>
              <w:bottom w:val="single" w:sz="8" w:color="CFF0FC"/>
            </w:tcBorders>
          </w:tcPr>
          <w:p>
            <w:pPr>
              <w:spacing w:after="0"/>
              <w:rPr>
                <w:sz w:val="12"/>
                <w:szCs w:val="12"/>
                <w:color w:val="auto"/>
              </w:rPr>
            </w:pPr>
          </w:p>
        </w:tc>
        <w:tc>
          <w:tcPr>
            <w:tcW w:w="11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2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2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Balance- January 1, 2021</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53,503,124</w:t>
            </w:r>
          </w:p>
        </w:tc>
        <w:tc>
          <w:tcPr>
            <w:tcW w:w="2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w w:val="82"/>
              </w:rPr>
              <w:t>—</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331,450</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(286,073)</w:t>
            </w:r>
          </w:p>
        </w:tc>
        <w:tc>
          <w:tcPr>
            <w:tcW w:w="12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(952)</w:t>
            </w:r>
          </w:p>
        </w:tc>
        <w:tc>
          <w:tcPr>
            <w:tcW w:w="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44,425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20"/>
                <w:szCs w:val="20"/>
                <w:color w:val="auto"/>
              </w:rPr>
            </w:pPr>
            <w:r>
              <w:rPr>
                <w:rFonts w:ascii="Times New Roman" w:cs="Times New Roman" w:eastAsia="Times New Roman" w:hAnsi="Times New Roman"/>
                <w:sz w:val="12"/>
                <w:szCs w:val="12"/>
                <w:color w:val="auto"/>
              </w:rPr>
              <w:t>Stock option exercises</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676,791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Issuance of common stock under employee</w:t>
            </w:r>
          </w:p>
        </w:tc>
        <w:tc>
          <w:tcPr>
            <w:tcW w:w="118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2"/>
                <w:szCs w:val="12"/>
                <w:color w:val="auto"/>
              </w:rPr>
              <w:t>stock purchase plan</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90,796</w:t>
            </w:r>
          </w:p>
        </w:tc>
        <w:tc>
          <w:tcPr>
            <w:tcW w:w="2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418</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418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Issuance of common stock to collaboration partners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3,762,190</w:t>
            </w:r>
          </w:p>
        </w:tc>
        <w:tc>
          <w:tcPr>
            <w:tcW w:w="2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27,739</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27,739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(18,689)</w:t>
            </w:r>
          </w:p>
        </w:tc>
        <w:tc>
          <w:tcPr>
            <w:tcW w:w="12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(18,689)</w:t>
            </w:r>
          </w:p>
        </w:tc>
        <w:tc>
          <w:tcPr>
            <w:tcW w:w="0" w:type="dxa"/>
            <w:vAlign w:val="bottom"/>
          </w:tcPr>
          <w:p>
            <w:pPr>
              <w:spacing w:after="0"/>
              <w:rPr>
                <w:sz w:val="1"/>
                <w:szCs w:val="1"/>
                <w:color w:val="auto"/>
              </w:rPr>
            </w:pPr>
          </w:p>
        </w:tc>
      </w:tr>
      <w:tr>
        <w:trPr>
          <w:trHeight w:val="20"/>
        </w:trPr>
        <w:tc>
          <w:tcPr>
            <w:tcW w:w="38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Balance- March 31, 2021</w:t>
            </w:r>
          </w:p>
        </w:tc>
        <w:tc>
          <w:tcPr>
            <w:tcW w:w="11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60" w:type="dxa"/>
            <w:vAlign w:val="bottom"/>
            <w:vMerge w:val="continue"/>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58,032,901</w:t>
            </w:r>
          </w:p>
        </w:tc>
        <w:tc>
          <w:tcPr>
            <w:tcW w:w="2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w w:val="82"/>
              </w:rPr>
              <w:t>—</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364,536</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(304,762)</w:t>
            </w:r>
          </w:p>
        </w:tc>
        <w:tc>
          <w:tcPr>
            <w:tcW w:w="12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(952)</w:t>
            </w:r>
          </w:p>
        </w:tc>
        <w:tc>
          <w:tcPr>
            <w:tcW w:w="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58,822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20"/>
                <w:szCs w:val="20"/>
                <w:color w:val="auto"/>
              </w:rPr>
            </w:pPr>
            <w:r>
              <w:rPr>
                <w:rFonts w:ascii="Times New Roman" w:cs="Times New Roman" w:eastAsia="Times New Roman" w:hAnsi="Times New Roman"/>
                <w:sz w:val="12"/>
                <w:szCs w:val="12"/>
                <w:color w:val="auto"/>
              </w:rPr>
              <w:t>Stock option exercises</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766,767</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1,353</w:t>
            </w: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1,353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13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3,896</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3,896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issuance of common stock, net of issuance cost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1,293,754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14,826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income</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right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21,656</w:t>
            </w:r>
          </w:p>
        </w:tc>
        <w:tc>
          <w:tcPr>
            <w:tcW w:w="20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21,656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June 30, 2021</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60,093,422</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ind w:left="520"/>
              <w:spacing w:after="0"/>
              <w:rPr>
                <w:sz w:val="20"/>
                <w:szCs w:val="20"/>
                <w:color w:val="auto"/>
              </w:rPr>
            </w:pPr>
            <w:r>
              <w:rPr>
                <w:rFonts w:ascii="Times New Roman" w:cs="Times New Roman" w:eastAsia="Times New Roman" w:hAnsi="Times New Roman"/>
                <w:sz w:val="12"/>
                <w:szCs w:val="12"/>
                <w:color w:val="auto"/>
                <w:w w:val="82"/>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384,611</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(283,106)</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(952)</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100,553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860" w:type="dxa"/>
            <w:vAlign w:val="bottom"/>
            <w:tcBorders>
              <w:top w:val="single" w:sz="8" w:color="CFF0FC"/>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right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January 1, 2022</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61,712,577</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ind w:left="520"/>
              <w:spacing w:after="0"/>
              <w:rPr>
                <w:sz w:val="20"/>
                <w:szCs w:val="20"/>
                <w:color w:val="auto"/>
              </w:rPr>
            </w:pPr>
            <w:r>
              <w:rPr>
                <w:rFonts w:ascii="Times New Roman" w:cs="Times New Roman" w:eastAsia="Times New Roman" w:hAnsi="Times New Roman"/>
                <w:sz w:val="12"/>
                <w:szCs w:val="12"/>
                <w:color w:val="auto"/>
                <w:w w:val="82"/>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408,795</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(316,675)</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(952)</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91,168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Stock option exercises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233,001</w:t>
            </w:r>
          </w:p>
        </w:tc>
        <w:tc>
          <w:tcPr>
            <w:tcW w:w="2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340</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340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860" w:type="dxa"/>
            <w:vAlign w:val="bottom"/>
          </w:tcPr>
          <w:p>
            <w:pPr>
              <w:spacing w:after="0"/>
              <w:rPr>
                <w:sz w:val="20"/>
                <w:szCs w:val="20"/>
                <w:color w:val="auto"/>
              </w:rPr>
            </w:pPr>
            <w:r>
              <w:rPr>
                <w:rFonts w:ascii="Times New Roman" w:cs="Times New Roman" w:eastAsia="Times New Roman" w:hAnsi="Times New Roman"/>
                <w:sz w:val="12"/>
                <w:szCs w:val="12"/>
                <w:color w:val="auto"/>
              </w:rPr>
              <w:t>Issuance of common stock under employee</w:t>
            </w: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8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stock purchase plan</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78,060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13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4,390</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4,390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issuance of common stock, net of issuance cost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561,405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Net loss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(28,168)</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(28,168)</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Balance- March 31, 2022</w:t>
            </w: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60" w:type="dxa"/>
            <w:vAlign w:val="bottom"/>
            <w:vMerge w:val="continue"/>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62,585,043</w:t>
            </w:r>
          </w:p>
        </w:tc>
        <w:tc>
          <w:tcPr>
            <w:tcW w:w="2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ind w:left="520"/>
              <w:spacing w:after="0"/>
              <w:rPr>
                <w:sz w:val="20"/>
                <w:szCs w:val="20"/>
                <w:color w:val="auto"/>
              </w:rPr>
            </w:pPr>
            <w:r>
              <w:rPr>
                <w:rFonts w:ascii="Times New Roman" w:cs="Times New Roman" w:eastAsia="Times New Roman" w:hAnsi="Times New Roman"/>
                <w:sz w:val="12"/>
                <w:szCs w:val="12"/>
                <w:color w:val="auto"/>
                <w:w w:val="82"/>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415,454</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(344,843)</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(952)</w:t>
            </w: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69,659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Stock option exercises</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78,234</w:t>
            </w:r>
          </w:p>
        </w:tc>
        <w:tc>
          <w:tcPr>
            <w:tcW w:w="200" w:type="dxa"/>
            <w:vAlign w:val="bottom"/>
            <w:tcBorders>
              <w:top w:val="single" w:sz="8" w:color="CFF0FC"/>
              <w:right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2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Proceeds from issuance of common stock, net of issuance cost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36,274,651</w:t>
            </w:r>
          </w:p>
        </w:tc>
        <w:tc>
          <w:tcPr>
            <w:tcW w:w="2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47,670</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47,670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20"/>
                <w:szCs w:val="20"/>
                <w:color w:val="auto"/>
              </w:rPr>
            </w:pPr>
            <w:r>
              <w:rPr>
                <w:rFonts w:ascii="Times New Roman" w:cs="Times New Roman" w:eastAsia="Times New Roman" w:hAnsi="Times New Roman"/>
                <w:sz w:val="12"/>
                <w:szCs w:val="12"/>
                <w:color w:val="auto"/>
              </w:rPr>
              <w:t>Issuance of common stock to collaboration partners</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12,407,440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11,553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11,553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Restricted stock units vested</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260,137</w:t>
            </w:r>
          </w:p>
        </w:tc>
        <w:tc>
          <w:tcPr>
            <w:tcW w:w="2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520"/>
              <w:spacing w:after="0"/>
              <w:rPr>
                <w:sz w:val="20"/>
                <w:szCs w:val="20"/>
                <w:color w:val="auto"/>
              </w:rPr>
            </w:pPr>
            <w:r>
              <w:rPr>
                <w:rFonts w:ascii="Times New Roman" w:cs="Times New Roman" w:eastAsia="Times New Roman" w:hAnsi="Times New Roman"/>
                <w:sz w:val="12"/>
                <w:szCs w:val="12"/>
                <w:color w:val="auto"/>
                <w:w w:val="82"/>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(31,035)</w:t>
            </w:r>
          </w:p>
        </w:tc>
        <w:tc>
          <w:tcPr>
            <w:tcW w:w="12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(31,035)</w:t>
            </w:r>
          </w:p>
        </w:tc>
        <w:tc>
          <w:tcPr>
            <w:tcW w:w="0" w:type="dxa"/>
            <w:vAlign w:val="bottom"/>
          </w:tcPr>
          <w:p>
            <w:pPr>
              <w:spacing w:after="0"/>
              <w:rPr>
                <w:sz w:val="1"/>
                <w:szCs w:val="1"/>
                <w:color w:val="auto"/>
              </w:rPr>
            </w:pPr>
          </w:p>
        </w:tc>
      </w:tr>
      <w:tr>
        <w:trPr>
          <w:trHeight w:val="20"/>
        </w:trPr>
        <w:tc>
          <w:tcPr>
            <w:tcW w:w="38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2"/>
                <w:szCs w:val="12"/>
                <w:b w:val="1"/>
                <w:bCs w:val="1"/>
                <w:color w:val="auto"/>
              </w:rPr>
              <w:t>Balance- June 30, 2022</w:t>
            </w:r>
          </w:p>
        </w:tc>
        <w:tc>
          <w:tcPr>
            <w:tcW w:w="118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60" w:type="dxa"/>
            <w:vAlign w:val="bottom"/>
            <w:vMerge w:val="continue"/>
            <w:shd w:val="clear" w:color="auto" w:fill="CFF0FC"/>
          </w:tcPr>
          <w:p>
            <w:pPr>
              <w:spacing w:after="0"/>
              <w:rPr>
                <w:sz w:val="12"/>
                <w:szCs w:val="12"/>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111,605,505</w:t>
            </w:r>
          </w:p>
        </w:tc>
        <w:tc>
          <w:tcPr>
            <w:tcW w:w="2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2"/>
                <w:szCs w:val="12"/>
                <w:color w:val="auto"/>
                <w:w w:val="82"/>
              </w:rPr>
              <w:t>—</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479,853</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(375,878)</w:t>
            </w:r>
          </w:p>
        </w:tc>
        <w:tc>
          <w:tcPr>
            <w:tcW w:w="12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(952)</w:t>
            </w:r>
          </w:p>
        </w:tc>
        <w:tc>
          <w:tcPr>
            <w:tcW w:w="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103,023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PRECISION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8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 income</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(59,203)</w:t>
            </w:r>
          </w:p>
        </w:tc>
        <w:tc>
          <w:tcPr>
            <w:tcW w:w="960" w:type="dxa"/>
            <w:vAlign w:val="bottom"/>
            <w:gridSpan w:val="2"/>
          </w:tcPr>
          <w:p>
            <w:pPr>
              <w:jc w:val="right"/>
              <w:ind w:right="82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Share-based compensation</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Non-cash interest expense</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discount on note receivable</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Prepaid expenses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(2,695)</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(50,019)</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Other assets and other current assets</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(4,779)</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(575)</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Other liabilities and other current liabilities</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(2,711)</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(905)</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Deferred revenue</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43,856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Lease liabilities and right-of-use assets</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(885)</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Contract liabilities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100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(53,096)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 of property, equipment and software</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(1,597)</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(2,815)</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offering of common stock, net of issuance costs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49,535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issuance of common stock to collaboration partners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Borrowings from revolving credit facility, net of issuance costs paid to lender</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issuance of term loan, net of issuance costs paid to lender</w:t>
            </w: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95,165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50,227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40,472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143,663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40" w:type="dxa"/>
            <w:vAlign w:val="bottom"/>
            <w:tcBorders>
              <w:bottom w:val="single" w:sz="8" w:color="auto"/>
            </w:tcBorders>
            <w:shd w:val="clear" w:color="auto" w:fill="CFF0FC"/>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184,135</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82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173,943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equipment and software additions included in accounts payable and accrued expenses other</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liabilities</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80" w:type="dxa"/>
            <w:vAlign w:val="bottom"/>
          </w:tcPr>
          <w:p>
            <w:pPr>
              <w:spacing w:after="0"/>
              <w:rPr>
                <w:sz w:val="23"/>
                <w:szCs w:val="23"/>
                <w:color w:val="auto"/>
              </w:rPr>
            </w:pPr>
          </w:p>
        </w:tc>
        <w:tc>
          <w:tcPr>
            <w:tcW w:w="960" w:type="dxa"/>
            <w:vAlign w:val="bottom"/>
            <w:gridSpan w:val="2"/>
          </w:tcPr>
          <w:p>
            <w:pPr>
              <w:jc w:val="right"/>
              <w:ind w:right="82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7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issuance costs included in accrued expenses</w:t>
            </w:r>
          </w:p>
        </w:tc>
        <w:tc>
          <w:tcPr>
            <w:tcW w:w="940" w:type="dxa"/>
            <w:vAlign w:val="bottom"/>
            <w:tcBorders>
              <w:top w:val="single" w:sz="8" w:color="auto"/>
              <w:bottom w:val="single" w:sz="8" w:color="auto"/>
            </w:tcBorders>
            <w:shd w:val="clear" w:color="auto" w:fill="CFF0FC"/>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Cash paid for interest</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94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Unsettled at-the-market issuances of common stock included in other current assets</w:t>
            </w: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82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Contract liability accrual related to Servier Program Purchase Agreement milestones</w:t>
            </w:r>
          </w:p>
        </w:tc>
        <w:tc>
          <w:tcPr>
            <w:tcW w:w="9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82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ind w:left="260"/>
        <w:spacing w:after="0"/>
        <w:rPr>
          <w:sz w:val="20"/>
          <w:szCs w:val="20"/>
          <w:color w:val="auto"/>
        </w:rPr>
      </w:pPr>
      <w:r>
        <w:rPr>
          <w:rFonts w:ascii="Times New Roman" w:cs="Times New Roman" w:eastAsia="Times New Roman" w:hAnsi="Times New Roman"/>
          <w:sz w:val="18"/>
          <w:szCs w:val="18"/>
          <w:b w:val="1"/>
          <w:bCs w:val="1"/>
          <w:color w:val="auto"/>
        </w:rPr>
        <w:t>Precision BioSciences, Inc.</w:t>
      </w:r>
    </w:p>
    <w:p>
      <w:pPr>
        <w:spacing w:after="0" w:line="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DESCRIPTION OF BUSINESS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 xml:space="preserve">Precision BioSciences, Inc. (the “Company”) was incorporated on January 26, 2006 under the laws of the State of Delaware and is based in Durham, North Carolina. The Company is a clinical stage gene editing company dedicated to improving life by developing </w:t>
      </w:r>
      <w:r>
        <w:rPr>
          <w:rFonts w:ascii="Times New Roman" w:cs="Times New Roman" w:eastAsia="Times New Roman" w:hAnsi="Times New Roman"/>
          <w:sz w:val="17"/>
          <w:szCs w:val="17"/>
          <w:i w:val="1"/>
          <w:iCs w:val="1"/>
          <w:color w:val="auto"/>
        </w:rPr>
        <w:t>ex vivo</w:t>
      </w:r>
      <w:r>
        <w:rPr>
          <w:rFonts w:ascii="Times New Roman" w:cs="Times New Roman" w:eastAsia="Times New Roman" w:hAnsi="Times New Roman"/>
          <w:sz w:val="17"/>
          <w:szCs w:val="17"/>
          <w:color w:val="auto"/>
        </w:rPr>
        <w:t xml:space="preserve"> allogeneic CAR T immunotherapies and </w:t>
      </w:r>
      <w:r>
        <w:rPr>
          <w:rFonts w:ascii="Times New Roman" w:cs="Times New Roman" w:eastAsia="Times New Roman" w:hAnsi="Times New Roman"/>
          <w:sz w:val="17"/>
          <w:szCs w:val="17"/>
          <w:i w:val="1"/>
          <w:iCs w:val="1"/>
          <w:color w:val="auto"/>
        </w:rPr>
        <w:t xml:space="preserve">in vivo </w:t>
      </w:r>
      <w:r>
        <w:rPr>
          <w:rFonts w:ascii="Times New Roman" w:cs="Times New Roman" w:eastAsia="Times New Roman" w:hAnsi="Times New Roman"/>
          <w:sz w:val="17"/>
          <w:szCs w:val="17"/>
          <w:color w:val="auto"/>
        </w:rPr>
        <w:t>therapies for genetic and infectious diseases with the application of the Company’s wholly owned proprietary ARCUS genome editing platform.</w:t>
      </w:r>
    </w:p>
    <w:p>
      <w:pPr>
        <w:spacing w:after="0" w:line="15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100% owned subsidiary, Precision PlantSciences, Inc., was incorporated on January 4, 2012. Precision PlantSciences, Inc. amended its certificate of incorporation on January 16, 2018 to change its name to Elo Life Systems, Inc. In December 2021, the Company entered into an agreement with a syndicate of investors, pursuant to which the Company contributed substantially all of the assets of Elo Life Systems, Inc. to a newly formed entity (the “Elo Transaction”). In connection with the Elo Transaction, Elo Life Systems, Inc. amended its certificate of incorporation on December 21, 2021 to change its name back to Precision PlantSciences, Inc. in order to permit the newly formed entity (“New Elo”) to change its name to Elo Life Systems, Inc.</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Company’s 100% owned subsidiary, Precision BioSciences UK Limited, was incorporated on June 17, 2019. The accompanying condensed consolidated financial statements include the accounts of the Company and its subsidiary. Intercompany balances and transactions have been eliminated in consolidation.</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Since its inception, the Company has devoted substantially all of its efforts to research and development activities, recruiting skilled personnel, developing manufacturing processes, establishing its intellectual property portfolio and providing general and administrative support for these operations. The Company is subject to a number of risks similar to those of other companies conducting high-risk, early-stage research and development of product candidates. Principal among these risks are dependence on key individuals and intellectual property, competition from other products and companies, and the technical risks associated with the successful research, development and clinical manufacturing of its product candidates. The Company’s success is dependent upon its ability to continue to raise additional capital in order to fund ongoing research and development, obtain regulatory approval of its products, successfully commercialize its products, generate revenue, meet its obligations, and, ultimately, attain profitable operations.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June, 21, 2022, the Company issued and sold 35,971,224 shares of the Company’s common stock at an offering price of $1.39 per share, resulting in net proceeds of approximately $46.7 million, after deducting underwriting discounts and commission of approximately $3.0 million and issuance costs of approximately $0.3 million.</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Management believes that, as of the date of this Quarterly Report on Form 10-Q, existing cash and cash equivalents, which includes the receipt of an upfront cash payment of $50.0 million under the Novartis Agreement (as defined below) in July 2022, as previously disclosed, expected operational receipts and available credit will allow the Company to fund its operating expense and capital expenditure requirements to the end of 2024. In the absence of a significant source of recurring revenue, the continued viability of the Company beyond that point is dependent on its ability to continue to raise additional capital to finance its operations. There can be no assurance that the Company will be able to obtain sufficient capital to cover its costs on acceptable terms, if at all.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notes have been prepared pursuant to the rules and regulations of the Securities and Exchange Commission (“SEC”). Certain information and note disclosures normally included in the annual financial statements, prepared in accordance with accounting principles generally accepted in the U.S. (“GAAP”), have been condensed or omitted pursuant to those rules and regulations. These unaudited condensed consolidated financial statements should be read in conjunction with the Company’s audited consolidated financial statements and the notes thereto included in the Company’s Annual Report on Form 10-K for the fiscal year ended December 31, 2021, filed with the SEC on March 15, 2022.</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on the same basis as the audited consolidated financial statements. In the opinion of management, all adjustments, consisting only of normal recurring adjustments necessary for a fair presentation of the Company’s condensed consolidated financial position as of June 30, 2022 and condensed consolidated results of operations for the three and six months ended June 30, 2022 and 2021 and the condensed consolidated cash flows for the six months ended June 30, 2022 and 2021, have been made. The Company’s condensed consolidated results of operations for the three and six months ended June 30, 2022 are not necessarily indicative of the results of operations that may be expected for the year ending December 31, 2022.</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5"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for Contracts with Customers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revenues are generated primarily through collaborative research, license, development and commercialization agreements.</w:t>
      </w:r>
    </w:p>
    <w:p>
      <w:pPr>
        <w:spacing w:after="0" w:line="22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 xml:space="preserve">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applies to all contracts with customers, except for contracts that are within the scope of other standards.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At contract inception, once the contract is determined to be within the scope of ASC 606, the Company evaluates the performance obligations promised in the contract that are based on goods and services that will be transferred to the customer and determines whether those obligations are both (i) capable of being distinct and (ii) distinct in the context of the contract. Goods or services that meet these criteria are considered distinct performance obligations. If both these criteria are not met, the goods and services are combined into a single performance obligation. The Company then recognizes as revenue the amount of the transaction price that is allocated to the respective performance obligation when (or as) the performance obligation is satisfied. Arrangements that include rights to additional goods or services that are exercisable at a customer’s discretion are generally considered options. The Company assesses if these options provide a material right to the customer and if so, these options are considered performance obligations. The exercise of a material right is accounted for as a contract modification for accounting purposes.</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recognizes as revenue the amount of the transaction price that is allocated to the respective performance obligation when (or as) each performance obligation is satisfied at a point in time or over time, and if over time this is based on the use of an output or input method. For the six months ended June 30, 2022, the Company recorded cumulative catch up adjustments on its contracts with customers that decreased revenue by $3.4 million; the cumulative catch-up adjustments resulted from changes in total estimated effort required to satisfy performance obligations.</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Invoices issued as stipulated in contracts prior to revenue recognition are recorded as deferred revenue. Amounts expected to be recognized as revenue within the 12 months following the balance sheet date are classified as deferred revenue within current liabilities in the accompanying condensed consolidated balance sheets. Amounts not expected to be recognized as revenue within the 12 months following the balance sheet date are classified as noncurrent deferred revenue. Amounts recognized as revenue, but not yet invoiced are generally recognized as contract assets in the other current assets line item in the accompanying condensed consolidated balance sheets. During the six months ended June 30, 2022, the Company recorded $7.1 million in revenue that was included in deferred revenue as of December 31, 2022.</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Milestone Payments – If an arrangement includes development and regulatory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licensee’s control, such as regulatory approvals, are not considered probable of being achieved until those approvals are received and therefore revenue recognized is constrained as management is unable to assert that a reversal of revenue would not be probable.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collaboration revenues and earnings in the period of adjustment.</w:t>
      </w:r>
    </w:p>
    <w:p>
      <w:pPr>
        <w:spacing w:after="0" w:line="18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Royalties – For arrangements that include sales-based royalties, including milestone payments based on a level of sales, which are the result of a customer-vendor relationship and for which the license is deemed to be the predominant item to which the royalties relate, the Company recognizes revenue at the later of (i) when the related sales occur, or (ii) when the performance obligation linked to some or all of the royalty has been satisfied or partially satisfied. To date, the Company has not recognized any royalty revenue resulting from any of its licensing arrangements.</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Significant Financing Component – In determining the transaction price, the Company adjusts consideration for the effects of the time value of money if the timing of payments provides the Company with a significant benefit of financing. The Company does not assess whether a contract has a significant financing component if the expectation at contract inception is such that the period between payment by the licensees and the transfer of the promised goods or services to the licensees will be one year or less. The Company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11" w:name="page12"/>
    <w:bookmarkEnd w:id="11"/>
    <w:p>
      <w:pPr>
        <w:ind w:right="20"/>
        <w:spacing w:after="0" w:line="282" w:lineRule="auto"/>
        <w:rPr>
          <w:sz w:val="20"/>
          <w:szCs w:val="20"/>
          <w:color w:val="auto"/>
        </w:rPr>
      </w:pPr>
      <w:r>
        <w:rPr>
          <w:rFonts w:ascii="Times New Roman" w:cs="Times New Roman" w:eastAsia="Times New Roman" w:hAnsi="Times New Roman"/>
          <w:sz w:val="18"/>
          <w:szCs w:val="18"/>
          <w:color w:val="auto"/>
        </w:rPr>
        <w:t>assessed each of its revenue arrangements in order to determine whether a significant financing component exists and concluded that a significant financing component does not exist in any of its arrangements.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Collaborative Arrangements – The Company has entered into collaboration agreements, which are within the scope of ASC 606, to discover, develop, manufacture and commercialize product candidates. The terms of these agreements typically contain multiple promises or obligations, which may include:</w:t>
      </w:r>
    </w:p>
    <w:p>
      <w:pPr>
        <w:ind w:right="260" w:firstLine="8"/>
        <w:spacing w:after="0" w:line="273" w:lineRule="auto"/>
        <w:tabs>
          <w:tab w:leader="none" w:pos="2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licenses, or options to obtain licenses, to use the Company’s technology, (2) research and development activities to be performed on behalf of the collaboration partner, and (3) in certain cases, services in connection with the manufacturing of preclinical and clinical material. Payments the Company receives under these arrangements typically include one or more of the following: non-refundable, upfront license fees; option exercise fees; funding of research and/or development efforts; clinical and development, regulatory, and sales milestone payments; and royalties on future product sales.</w:t>
      </w:r>
    </w:p>
    <w:p>
      <w:pPr>
        <w:spacing w:after="0" w:line="17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The Company analyzes its collaboration arrangements to assess whether the collaboration agreements are within the scope of ASC 808, </w:t>
      </w:r>
      <w:r>
        <w:rPr>
          <w:rFonts w:ascii="Times New Roman" w:cs="Times New Roman" w:eastAsia="Times New Roman" w:hAnsi="Times New Roman"/>
          <w:sz w:val="18"/>
          <w:szCs w:val="18"/>
          <w:i w:val="1"/>
          <w:iCs w:val="1"/>
          <w:color w:val="auto"/>
        </w:rPr>
        <w:t>Collaborative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Arrangements </w:t>
      </w:r>
      <w:r>
        <w:rPr>
          <w:rFonts w:ascii="Times New Roman" w:cs="Times New Roman" w:eastAsia="Times New Roman" w:hAnsi="Times New Roman"/>
          <w:sz w:val="18"/>
          <w:szCs w:val="18"/>
          <w:color w:val="auto"/>
        </w:rPr>
        <w:t>(“ASC 808”) to determine whether such arrangements involve joint operating activities performed by parties that are both active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activities and exposed to significant risks and rewards dependent on the commercial success of such activities. This assessment is performed throughout the life of the arrangement based on changes in the responsibilities of all parties in the arrangement. For collaboration arrangements within the scope of ASC 808 that contain multiple elements, the Company first determines which elements of the collaboration are deemed to be within the scope of ASC 808 and those that are more reflective of a vendor-customer relationship and, therefore, are within the scope of ASC 606. For elements of collaboration arrangements that are accounted for pursuant to ASC 808, an appropriate recognition method is determined and applied consistently, generally by analogy to ASC 606. For those elements of the arrangement that are accounted for pursuant to ASC 606, the Company applies the five-step model described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discussion of accounting for collaboration revenues, see Note 9, “Collaboration and License Agreements.”</w:t>
      </w:r>
    </w:p>
    <w:p>
      <w:pPr>
        <w:spacing w:after="0" w:line="329"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Structure</w:t>
      </w:r>
    </w:p>
    <w:p>
      <w:pPr>
        <w:spacing w:after="0" w:line="229"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On April 1, 2019, the Company filed an amendment to its amended and restated certificate of incorporation pursuant to which, among other things, the Company increased its authorized shares to 210,000,000 shares of capital stock, of which 200,000,000 shares were designated as $0.000005 par value common stock and 10,000,000 shares were designated as $0.0001 par value preferred stock.</w:t>
      </w:r>
    </w:p>
    <w:p>
      <w:pPr>
        <w:spacing w:after="0" w:line="388"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previously granted stock options under its 2006 Stock Incentive Plan (the “2006 Plan”) and its 2015 Stock Incentive Plan (the “2015 Plan”). As of June 30, 2022 there were 2,281,621 stock options outstanding under the 2006 Plan and 2015 Plan and no remaining stock options available to be granted under such plans.</w:t>
      </w:r>
    </w:p>
    <w:p>
      <w:pPr>
        <w:spacing w:after="0" w:line="17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On March 12, 2019, the Company’s board of directors adopted, and, on March 14, 2019 the Company’s stockholders approved, the Precision BioSciences, Inc. 2019 Incentive Award Plan (“2019 Plan”) and the 2019 Employee Stock Purchase Plan (“2019 ESPP”), both of which became effective on March 27, 2019.</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2019 Plan provides for the grant of incentive stock options, non-qualified stock options, stock appreciation rights, restricted stock, restricted stock units and other share-based awards. The number of shares available for issuance under the 2019 Plan initially equaled 4,750,000 shares of common stock. The 2019 Plan provides for an annual increase to the number of shares of common stock available for issuance on the first day of each calendar year beginning January 1, 2020 and ending on and including January 1, 2029 by an amount equal to the lesser of (i) 4% of the aggregate number of shares of common stock outstanding on the final day of the immediately preceding calendar year and (ii) such smaller number of shares of common stock as determined by the board of directors. As of June 30, 2022, the aggregate number of shares available for issuance under the 2019 Plan has been increased by 6,589,999 pursuant to this provision. Any shares that are subject to awards outstanding under the Company’s 2006 Plan and 2015 Plan as of the effective date of the 2019 Plan that expire, lapse, or are terminated, exchanged for cash, surrendered, repurchased, or canceled without having been fully exercised or forfeited, to the extent so unused, will become available for award grants under the 2019 Plan. As of June 30, 2022, 706,151 shares were available to be issued under the 2019 Plan. The 2019 Plan had 9,464,798 stock options and 2,000,199 restricted stock units (“RSUs”) outstanding as of June 30, 2022.</w:t>
      </w:r>
    </w:p>
    <w:p>
      <w:pPr>
        <w:spacing w:after="0" w:line="1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Up to 525,000 shares of the Company’s common stock were initially reserved for issuance under the 2019 ESPP. The 2019 ESPP provides for an annual increase to the number of shares available for issuance on the first day of each calendar year beginning January 1, 2020 and ending on and including January 1, 2029 by an amount equal to the lesser of (i) 1% of the shares outstanding on the final day of the immediately preceding calendar year and (ii) such smaller number of shares as is determined by our board of directors. As of June 30, 2022, the aggregate number of shares available for issuance under the 2019 ESPP has been increased by 1,647,499 shares pursuant to this provision. No more than 5,250,000 shares of our common stock may be issued under our 2019 ESPP. The purchase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2" w:name="page13"/>
    <w:bookmarkEnd w:id="12"/>
    <w:p>
      <w:pPr>
        <w:ind w:right="180"/>
        <w:spacing w:after="0" w:line="261" w:lineRule="auto"/>
        <w:rPr>
          <w:sz w:val="20"/>
          <w:szCs w:val="20"/>
          <w:color w:val="auto"/>
        </w:rPr>
      </w:pPr>
      <w:r>
        <w:rPr>
          <w:rFonts w:ascii="Times New Roman" w:cs="Times New Roman" w:eastAsia="Times New Roman" w:hAnsi="Times New Roman"/>
          <w:sz w:val="18"/>
          <w:szCs w:val="18"/>
          <w:color w:val="auto"/>
        </w:rPr>
        <w:t>price of the shares under the 2019 ESPP, in the absence of a contrary designation, will be 85% of the lower of the fair market value of our common stock on the first trading day of the offering period or on the purchase date. As of June 30, 2022, the Company had issued 331,175 shares under the 2019 ESPP. As of June 30, 2022, 1,841,324 shares were available to be issued under the 2019 ESPP. The Company recognized share-based compensation expense related to the ESPP of less than $0.1 million and $0.2 million during the six months ended June 30, 2022 and 2021, respectively.</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August 9, 2021, the Company’s board of directors approved the adoption of the Precision BioSciences, Inc. 2021 Employment Inducement Incentive Award Plan (“Inducement Award Plan”).</w:t>
      </w:r>
    </w:p>
    <w:p>
      <w:pPr>
        <w:spacing w:after="0" w:line="162"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The Inducement Award Plan provides for the grant of non-qualified stock options, stock appreciation rights, restricted stock, RSUs and other share-based awards to newly hired employees who have not previously been an employee or member of the board, or an employee who is being rehired following a bona fide period of non-employment by the Company. No more than 3,000,000 shares of the Company’s common stock may be issued under the Inducement Award Plan. As of June 30, 2022, 608,017 shares were available to be issued under the Inducement Award Plan. The Inducement Award Plan had 2,168,321 stock options and 223,662 RSUs outstanding as of June 30,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employee and nonemployee share-based compensation expense as follows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3000" w:type="dxa"/>
            <w:vAlign w:val="bottom"/>
            <w:tcBorders>
              <w:bottom w:val="single" w:sz="8" w:color="auto"/>
            </w:tcBorders>
            <w:gridSpan w:val="4"/>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268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3820" w:type="dxa"/>
            <w:vAlign w:val="bottom"/>
          </w:tcPr>
          <w:p>
            <w:pPr>
              <w:spacing w:after="0"/>
              <w:rPr>
                <w:sz w:val="19"/>
                <w:szCs w:val="19"/>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9"/>
                <w:szCs w:val="19"/>
                <w:color w:val="auto"/>
              </w:rPr>
            </w:pPr>
          </w:p>
        </w:tc>
        <w:tc>
          <w:tcPr>
            <w:tcW w:w="150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w:t>
            </w:r>
          </w:p>
        </w:tc>
        <w:tc>
          <w:tcPr>
            <w:tcW w:w="980" w:type="dxa"/>
            <w:vAlign w:val="bottom"/>
            <w:tcBorders>
              <w:top w:val="single" w:sz="8" w:color="auto"/>
            </w:tcBorders>
            <w:shd w:val="clear" w:color="auto" w:fill="CFF0FC"/>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2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center"/>
              <w:ind w:right="10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5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7,762</w:t>
            </w:r>
          </w:p>
        </w:tc>
        <w:tc>
          <w:tcPr>
            <w:tcW w:w="2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Nonemployee</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6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5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2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bottom w:val="single" w:sz="8" w:color="CFF0FC"/>
            </w:tcBorders>
          </w:tcPr>
          <w:p>
            <w:pPr>
              <w:spacing w:after="0"/>
              <w:rPr>
                <w:sz w:val="19"/>
                <w:szCs w:val="19"/>
                <w:color w:val="auto"/>
              </w:rPr>
            </w:pPr>
          </w:p>
        </w:tc>
      </w:tr>
      <w:tr>
        <w:trPr>
          <w:trHeight w:val="223"/>
        </w:trPr>
        <w:tc>
          <w:tcPr>
            <w:tcW w:w="38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26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center"/>
              <w:ind w:right="10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5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9,528</w:t>
            </w:r>
          </w:p>
        </w:tc>
        <w:tc>
          <w:tcPr>
            <w:tcW w:w="2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 is included in the following line items in the condensed consolidated statements of operations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3000" w:type="dxa"/>
            <w:vAlign w:val="bottom"/>
            <w:tcBorders>
              <w:bottom w:val="single" w:sz="8" w:color="auto"/>
            </w:tcBorders>
            <w:gridSpan w:val="4"/>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268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3820" w:type="dxa"/>
            <w:vAlign w:val="bottom"/>
          </w:tcPr>
          <w:p>
            <w:pPr>
              <w:spacing w:after="0"/>
              <w:rPr>
                <w:sz w:val="19"/>
                <w:szCs w:val="19"/>
                <w:color w:val="auto"/>
              </w:rPr>
            </w:pPr>
          </w:p>
        </w:tc>
        <w:tc>
          <w:tcPr>
            <w:tcW w:w="98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9"/>
                <w:szCs w:val="19"/>
                <w:color w:val="auto"/>
              </w:rPr>
            </w:pPr>
          </w:p>
        </w:tc>
        <w:tc>
          <w:tcPr>
            <w:tcW w:w="150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Borders>
              <w:top w:val="single" w:sz="8" w:color="auto"/>
            </w:tcBorders>
            <w:shd w:val="clear" w:color="auto" w:fill="CFF0FC"/>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2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center"/>
              <w:ind w:right="10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5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2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26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5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26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00" w:type="dxa"/>
            <w:vAlign w:val="bottom"/>
            <w:tcBorders>
              <w:bottom w:val="single" w:sz="8" w:color="CFF0FC"/>
            </w:tcBorders>
          </w:tcPr>
          <w:p>
            <w:pPr>
              <w:spacing w:after="0"/>
              <w:rPr>
                <w:sz w:val="19"/>
                <w:szCs w:val="19"/>
                <w:color w:val="auto"/>
              </w:rPr>
            </w:pPr>
          </w:p>
        </w:tc>
      </w:tr>
      <w:tr>
        <w:trPr>
          <w:trHeight w:val="223"/>
        </w:trPr>
        <w:tc>
          <w:tcPr>
            <w:tcW w:w="38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26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center"/>
              <w:ind w:right="10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5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9,528</w:t>
            </w:r>
          </w:p>
        </w:tc>
        <w:tc>
          <w:tcPr>
            <w:tcW w:w="2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Determining the appropriate fair value model to measure the fair value of the stock option grants on the date of grant and the related assumptions requires judgment. The fair value of each stock option grant is estimated using a Black-Scholes option-pricing model on the date of grant as follows:</w:t>
      </w:r>
    </w:p>
    <w:p>
      <w:pPr>
        <w:sectPr>
          <w:pgSz w:w="11900" w:h="16838" w:orient="portrait"/>
          <w:cols w:equalWidth="0" w:num="1">
            <w:col w:w="11240"/>
          </w:cols>
          <w:pgMar w:left="320" w:top="486" w:right="339" w:bottom="1440" w:gutter="0" w:footer="0" w:header="0"/>
        </w:sectPr>
      </w:pPr>
    </w:p>
    <w:p>
      <w:pPr>
        <w:spacing w:after="0" w:line="27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7620</wp:posOffset>
            </wp:positionV>
            <wp:extent cx="1534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62"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7620</wp:posOffset>
            </wp:positionV>
            <wp:extent cx="16287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6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32" w:lineRule="exact"/>
        <w:rPr>
          <w:sz w:val="20"/>
          <w:szCs w:val="20"/>
          <w:color w:val="auto"/>
        </w:rPr>
      </w:pPr>
    </w:p>
    <w:p>
      <w:pPr>
        <w:sectPr>
          <w:pgSz w:w="11900" w:h="16838" w:orient="portrait"/>
          <w:cols w:equalWidth="0" w:num="2">
            <w:col w:w="7920" w:space="720"/>
            <w:col w:w="2600"/>
          </w:cols>
          <w:pgMar w:left="320" w:top="486"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72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3"/>
        </w:trPr>
        <w:tc>
          <w:tcPr>
            <w:tcW w:w="4720" w:type="dxa"/>
            <w:vAlign w:val="bottom"/>
            <w:shd w:val="clear" w:color="auto" w:fill="CFF0FC"/>
          </w:tcPr>
          <w:p>
            <w:pPr>
              <w:spacing w:after="0" w:line="203" w:lineRule="exact"/>
              <w:rPr>
                <w:sz w:val="20"/>
                <w:szCs w:val="20"/>
                <w:color w:val="auto"/>
              </w:rPr>
            </w:pPr>
            <w:r>
              <w:rPr>
                <w:rFonts w:ascii="Times New Roman" w:cs="Times New Roman" w:eastAsia="Times New Roman" w:hAnsi="Times New Roman"/>
                <w:sz w:val="18"/>
                <w:szCs w:val="18"/>
                <w:color w:val="auto"/>
              </w:rPr>
              <w:t>Estimated dividend yield</w:t>
            </w:r>
          </w:p>
        </w:tc>
        <w:tc>
          <w:tcPr>
            <w:tcW w:w="1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0.00%</w:t>
            </w:r>
          </w:p>
        </w:tc>
        <w:tc>
          <w:tcPr>
            <w:tcW w:w="106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0.00%</w:t>
            </w: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expected stock price volatility</w:t>
            </w: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79.86%</w:t>
            </w:r>
          </w:p>
        </w:tc>
        <w:tc>
          <w:tcPr>
            <w:tcW w:w="106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79.13%</w:t>
            </w:r>
          </w:p>
        </w:tc>
      </w:tr>
      <w:tr>
        <w:trPr>
          <w:trHeight w:val="229"/>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1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2.90%</w:t>
            </w:r>
          </w:p>
        </w:tc>
        <w:tc>
          <w:tcPr>
            <w:tcW w:w="10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2.35%</w:t>
            </w:r>
          </w:p>
        </w:tc>
      </w:tr>
      <w:tr>
        <w:trPr>
          <w:trHeight w:val="23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of options (in years)</w:t>
            </w: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80" w:type="dxa"/>
            <w:vAlign w:val="bottom"/>
          </w:tcPr>
          <w:p>
            <w:pPr>
              <w:spacing w:after="0"/>
              <w:rPr>
                <w:sz w:val="19"/>
                <w:szCs w:val="19"/>
                <w:color w:val="auto"/>
              </w:rPr>
            </w:pPr>
          </w:p>
        </w:tc>
      </w:tr>
      <w:tr>
        <w:trPr>
          <w:trHeight w:val="23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fair value per option</w:t>
            </w:r>
          </w:p>
        </w:tc>
        <w:tc>
          <w:tcPr>
            <w:tcW w:w="2240" w:type="dxa"/>
            <w:vAlign w:val="bottom"/>
            <w:gridSpan w:val="2"/>
            <w:shd w:val="clear" w:color="auto" w:fill="CFF0FC"/>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expected volatility rates are estimated based on the actual volatility of a peer group comprising the Company and other comparable public companies over the expected term. The expected term represents the average time that stock options that vest are expected to be outstanding. The Company does not have sufficient history of exercising stock options to estimate the expected term of employee stock options and thus utilizes a weighted value considering actual history and estimated expected term based on the midpoint of final vest date and expiration date. The risk-free rate is based on the United States Treasury yield curve at the time of grant for the expected term of the option.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The following table summarizes activity in the Company’s stock option plans for the six months ended June 30, 2022:</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298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Outstanding Option Shares</w:t>
            </w:r>
          </w:p>
        </w:tc>
        <w:tc>
          <w:tcPr>
            <w:tcW w:w="160" w:type="dxa"/>
            <w:vAlign w:val="bottom"/>
          </w:tcPr>
          <w:p>
            <w:pPr>
              <w:spacing w:after="0"/>
              <w:rPr>
                <w:sz w:val="15"/>
                <w:szCs w:val="15"/>
                <w:color w:val="auto"/>
              </w:rPr>
            </w:pPr>
          </w:p>
        </w:tc>
        <w:tc>
          <w:tcPr>
            <w:tcW w:w="2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Weighted-Average Exercise Price</w:t>
            </w:r>
          </w:p>
        </w:tc>
      </w:tr>
      <w:tr>
        <w:trPr>
          <w:trHeight w:val="223"/>
        </w:trPr>
        <w:tc>
          <w:tcPr>
            <w:tcW w:w="5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2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9,920,314</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5,608,110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19"/>
                <w:szCs w:val="19"/>
                <w:color w:val="auto"/>
              </w:rPr>
            </w:pPr>
          </w:p>
        </w:tc>
      </w:tr>
      <w:tr>
        <w:trPr>
          <w:trHeight w:val="229"/>
        </w:trPr>
        <w:tc>
          <w:tcPr>
            <w:tcW w:w="5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2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(311,235)</w:t>
            </w:r>
          </w:p>
        </w:tc>
        <w:tc>
          <w:tcPr>
            <w:tcW w:w="160" w:type="dxa"/>
            <w:vAlign w:val="bottom"/>
            <w:shd w:val="clear" w:color="auto" w:fill="CFF0FC"/>
          </w:tcPr>
          <w:p>
            <w:pPr>
              <w:spacing w:after="0"/>
              <w:rPr>
                <w:sz w:val="19"/>
                <w:szCs w:val="19"/>
                <w:color w:val="auto"/>
              </w:rPr>
            </w:pP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FF0FC"/>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Forfeited/canceled</w:t>
            </w:r>
          </w:p>
        </w:tc>
        <w:tc>
          <w:tcPr>
            <w:tcW w:w="2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(1,302,449)</w:t>
            </w:r>
          </w:p>
        </w:tc>
        <w:tc>
          <w:tcPr>
            <w:tcW w:w="16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tcPr>
          <w:p>
            <w:pPr>
              <w:spacing w:after="0"/>
              <w:rPr>
                <w:sz w:val="19"/>
                <w:szCs w:val="19"/>
                <w:color w:val="auto"/>
              </w:rPr>
            </w:pPr>
          </w:p>
        </w:tc>
      </w:tr>
      <w:tr>
        <w:trPr>
          <w:trHeight w:val="223"/>
        </w:trPr>
        <w:tc>
          <w:tcPr>
            <w:tcW w:w="56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2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13,914,740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3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intrinsic value of stock options exercised was $0.7 million and $12.8 million during the six months ended June 30, 2022 and 2021, respectively.</w:t>
      </w:r>
    </w:p>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the Company granted 1,826,307 RSUs with a grant date fair value of $6.6 million. The fair value of each award was determined based on the market price of the Company’s common stock on the date of grant. The fair value of the RSUs will be recognized as expense over the requisite vesting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 for the six months ended June 30, 2022:</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860" w:type="dxa"/>
            <w:vAlign w:val="bottom"/>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RSU Awards</w:t>
            </w: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Weighted-Average Grant Date Fair</w:t>
            </w:r>
          </w:p>
        </w:tc>
        <w:tc>
          <w:tcPr>
            <w:tcW w:w="0" w:type="dxa"/>
            <w:vAlign w:val="bottom"/>
          </w:tcPr>
          <w:p>
            <w:pPr>
              <w:spacing w:after="0"/>
              <w:rPr>
                <w:sz w:val="1"/>
                <w:szCs w:val="1"/>
                <w:color w:val="auto"/>
              </w:rPr>
            </w:pPr>
          </w:p>
        </w:tc>
      </w:tr>
      <w:tr>
        <w:trPr>
          <w:trHeight w:val="173"/>
        </w:trPr>
        <w:tc>
          <w:tcPr>
            <w:tcW w:w="562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Unvested RSUs as of January 1, 2022</w:t>
            </w:r>
          </w:p>
        </w:tc>
        <w:tc>
          <w:tcPr>
            <w:tcW w:w="18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773,503</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1,826,307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(115,812)</w:t>
            </w:r>
          </w:p>
        </w:tc>
        <w:tc>
          <w:tcPr>
            <w:tcW w:w="12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(260,137)</w:t>
            </w:r>
          </w:p>
        </w:tc>
        <w:tc>
          <w:tcPr>
            <w:tcW w:w="120" w:type="dxa"/>
            <w:vAlign w:val="bottom"/>
            <w:shd w:val="clear" w:color="auto" w:fill="CFF0FC"/>
          </w:tcPr>
          <w:p>
            <w:pPr>
              <w:spacing w:after="0"/>
              <w:rPr>
                <w:sz w:val="19"/>
                <w:szCs w:val="19"/>
                <w:color w:val="auto"/>
              </w:rPr>
            </w:pPr>
          </w:p>
        </w:tc>
        <w:tc>
          <w:tcPr>
            <w:tcW w:w="2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Unvested RSUs as of June 30, 2022</w:t>
            </w:r>
          </w:p>
        </w:tc>
        <w:tc>
          <w:tcPr>
            <w:tcW w:w="18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2,223,861</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was approximately $40.4 million of total unrecognized compensation cost related to unvested stock options and RSUs as of June 30, 2022, which is expected to be recognized over a weighted-average period of 2.6 years.</w:t>
      </w:r>
    </w:p>
    <w:p>
      <w:pPr>
        <w:spacing w:after="0" w:line="158"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is subject to various legal matters and claims in the ordinary course of business. Although the results of legal proceedings and claims cannot be predicted with certainty, in the opinion of management, there are currently no such known matters that will have a material effect on the consolidated financial condition, results of operations or cash flows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March 2020, the World Health Organization designated the outbreak of the novel strain of coronavirus known as COVID-19 as a global pandemic. The Company has taken steps in line with guidance from the U.S. Centers for Disease Control and Prevention and the State of North Carolina to protect the health and safety of its employees and the community.</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is working closely with its clinical sites, physician partners and the patient community to monitor and manage the ongoing impact of the COVID-19 pandemic and variants thereof. The Company remains committed to its clinical programs and development plans, however, disruptions, competing resource demands and safety concerns caused by the COVID-19 pandemic and variants thereof have caused, and are likely to continue to cause, delays in the Company’s clinical trial site activation and impacted its ability to enroll patients. The Company may also experience other difficulties, disruptions or delays in conducting preclinical studies, initiating, enrolling, conducting or completing its planned and ongoing clinical trials or supply chain disruptions, and the Company may incur other unforeseen costs as a result. While the extent to which the COVID-19 pandemic and variants thereof may continue to impact the Company’s future results will depend on future developments, the pandemic and associated economic impacts, including sustained inflation, supply chain disruptions and major central bank policy actions, which could result in a material impact to the Company’s future financial condition, results of operations and cash flows. Future economic impacts associated with the COVID-19 pandemic and variants thereof such as sustained inflation, supply chain disruptions and major central bank policy actions may have a negative impact on our preclinical studies and clinical trials.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Servier Program Purchase Agreement</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On April 9, 2021, the Company entered into a program purchase agreement with Les Laboratoires Servier and Institut de Recherches Internationales Servier (collectively, “Servier”), pursuant to which the Company reacquired all of its global development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4" w:name="page15"/>
    <w:bookmarkEnd w:id="14"/>
    <w:p>
      <w:pPr>
        <w:ind w:right="180"/>
        <w:spacing w:after="0" w:line="266" w:lineRule="auto"/>
        <w:rPr>
          <w:sz w:val="20"/>
          <w:szCs w:val="20"/>
          <w:color w:val="auto"/>
        </w:rPr>
      </w:pPr>
      <w:r>
        <w:rPr>
          <w:rFonts w:ascii="Times New Roman" w:cs="Times New Roman" w:eastAsia="Times New Roman" w:hAnsi="Times New Roman"/>
          <w:sz w:val="18"/>
          <w:szCs w:val="18"/>
          <w:color w:val="auto"/>
        </w:rPr>
        <w:t>commercialization rights previously granted to Servier pursuant to the Development and Commercial License Agreement by and between Servier and the Company, dated February 24, 2016, as amended (the “Servier Agreement”), and mutually terminated the Servier Agreement (the “Program Purchase Agreement”).</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Program Purchase Agreement requires the Company to make certain payments to Servier based on the achievement of regulatory and commercial milestones for each product, and a low- to mid-single-digit percentage royalty (subject to certain reductions) based on net sales of approved products, if any, resulting from any continued development and commercialization of the programs by the Company, for a period not to exceed ten years after first commercial sale of the applicable product in the United States or certain countries in Europe. If the Company enters into specified product partnering transactions, the Program Purchase Agreement requires the Company to pay to Servier a portion of certain consideration received pursuant to such product partnering transactions in lieu of the foregoing milestones (with the exception of a one-time clinical phase development milestone) and royalties.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and Commercial Milestones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Management assessed the likelihood of each of the regulatory and commercial milestones included in the Program Purchase Agreement in accordance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(“ASC 450”). If the assessment of a contingency indicates that it is probable that the milestone will be achieved and the amount of the liability can be estimated, then the estimated liability would be accrued in the Company’s condensed consolidated financial statements. Accordingly, a $10.0 million financial contract liability was accrued in the six months ended June 30, 2021 and is included in the condensed consolidated balance sheets as of June 30, 2022 and December 31,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Partnering Transaction Consideration Due to Servier</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Per the terms of the Program Purchase Agreement, should the Company enter into a product partnering transaction with respect to any of the targets previously nominated by Servier, the Company will pay Servier a percentage of the proceeds received. In accordance with ASC 450 management concluded that the amount of proceeds due to Servier as a result of a future product partnering transaction, if any, cannot be reasonably estimated as of the date of this Quarterly Report on Form 10-Q. As such, no contingency for this provision was included in the condensed consolidated financial statements as of June 30, 2022 or December 31,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operating leases for real estate in North Carolina and does not have any finance leases.</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Many of the Company’s leases contain options to renew and extend lease terms and options to terminate leases early. Reflected in the right-of-use asset and lease liabilities on the Company’s condensed consolidated balance sheet are the periods provided by renewal and extension options that the Company is reasonably certain to exercise, as well as the periods provided by termination options that the Company is reasonably certain to not exercise.</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existing leases that include variable lease payments that are not included in the right-of-use asset and lease liabilities and are reflected as an expense in the period incurred. Such payments primarily include common area maintenance charges. These variable lease payments are paid separately from rent based on actual costs incurred and therefore are not included in the right-of-use assets and lease liabilities but rather reflected as an expense in the period incurred.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lease payments under non-cancelable operating leases with terms of greater than one year as of June 30, 2022,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 (excluding the six months ended June 30, 2022)</w:t>
            </w:r>
          </w:p>
        </w:tc>
        <w:tc>
          <w:tcPr>
            <w:tcW w:w="40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4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40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0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2027 and beyond</w:t>
            </w:r>
          </w:p>
        </w:tc>
        <w:tc>
          <w:tcPr>
            <w:tcW w:w="40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0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Less: imputed interest</w:t>
            </w:r>
          </w:p>
        </w:tc>
        <w:tc>
          <w:tcPr>
            <w:tcW w:w="40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0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020" w:type="dxa"/>
            <w:vAlign w:val="bottom"/>
            <w:vMerge w:val="restart"/>
          </w:tcPr>
          <w:p>
            <w:pPr>
              <w:jc w:val="right"/>
              <w:ind w:right="2910"/>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0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Supply Agreements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contract manufacturing organizations (“CMOs”) for the manufacture of clinical trial materials and contract research organizations (“CROs”) for clinical trial services. These agreements provide for termination at the request of either party with less than one-year notice and are, therefore, cancelable contracts and, if canceled, are not anticipated to have a material effect on the condensed consolidated financial condition, results of operations, or cash flows of the Company.</w:t>
      </w:r>
    </w:p>
    <w:p>
      <w:pPr>
        <w:spacing w:after="0" w:line="176"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8"/>
          <w:szCs w:val="18"/>
          <w:b w:val="1"/>
          <w:bCs w:val="1"/>
          <w:color w:val="auto"/>
        </w:rPr>
        <w:t>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Elo Loan</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May 2021, prior to the Elo Transaction, Elo Life Systems, Inc. entered into a loan and security agreement with Pacific Western Bank (“PWB”) for a term loan (the “Elo Loan”) in the amount of $2.5 million. On December 14, 2021, the Company repaid all outstanding principal and interest on the Elo Loan with proceeds from the Revolving Line (defined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Line</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Pursuant to the terms of the loan and security agreement with PWB (as amended from time to time, the “Revolving Line”) the Company may request advances on a revolving line of credit of up to an aggregate principal of $30.0 million.</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May 2022, the Company and PWB executed the Seventh Amendment to the Revolving Line (the “Revolving Line Amendment”). Upon the execution of the Revolving Line Amendment, the interest rate on credit advances was modified to the greater of (a) 0.75% above the Prime rate (as defined in the Revolving Line) and (b) 4.25%.</w:t>
      </w:r>
    </w:p>
    <w:p>
      <w:pPr>
        <w:spacing w:after="0" w:line="2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July 2022, the maturity date of the Revolving Line was extended to June 23, 2024 upon the Company’s receipt of $100.0 million in aggregate new gross proceeds (as defined in the Revolving Line Amendment). All outstanding principal amounts under the Revolving Line are due on the maturity date. The Company must also maintain an aggregate balance of unrestricted cash at PWB (not including amounts in certain specified accounts) equal to or greater than $10.0 million.</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December 2021, the Company borrowed $2.5 million under the Revolving Line to pay all outstanding principal on the Elo Loan. In May 2022, the Company borrowed an additional $20.0 million under the Revolving Line. As of June 30, 2022, $22.5 million was outstanding under the Revolving Line and the unamortized Revolving Line debt discount balance was $0.4 million. As of June 30, 2022, the stated interest rate on the Revolving Line was 5.50% and the effective interest rate was 6.50%.</w:t>
      </w:r>
    </w:p>
    <w:p>
      <w:pPr>
        <w:spacing w:after="0" w:line="68"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33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estimates an annual effective tax rate of 0% for the year ending December 31, 2022 as the Company incurred losses for the six months ended June 30, 2022 and expects to continue to incur losses through the remainder of fiscal year ending December 31, 2022, resulting in an estimated net loss for both financial statement and tax purposes for the year ending December 31, 2022. Therefore, no federal or state income taxes are expected and none have been recorded at this time. Income taxes have been accounted for using the liability method.</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Due to the Company's history of losses since inception, there is not enough evidence at this time to support that the Company will generate future income of a sufficient amount and nature to utilize the benefits of its net deferred tax assets. Accordingly, the deferred tax assets have been reduced by a full valuation allowance, since the Company does not currently believe that realization of its deferred tax assets is more likely than not.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2022, the Company had no uncertain tax positions that required the establishment of a reserve.</w:t>
      </w:r>
    </w:p>
    <w:p>
      <w:pPr>
        <w:spacing w:after="0" w:line="221"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carrying amounts of the Company’s accounts receivable, accounts payable, and accrued expenses and other current liabilities, approximate their respective fair values due to their short-term nature. The Company uses a three-tier fair value hierarchy to classify and disclose all assets and liabilities measured at fair value on a recurring basis and to minimize the use of unobservable inputs when determining their fair value. The three tiers are defined as follows: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1—Observable inputs based on unadjusted quoted prices in active markets for identical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2—Inputs, other than quoted prices in active markets, that are observable either directly or indirectly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3—Unobservable inputs for which there is little or no market data, which require the Company to develop its own assumptions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of June 30, 2022 the Company held cash equivalents which are composed of money market funds and repurchase agreements that were purchased through repurchase intermediary banks and collateralized by deposits in the form of government securities and obligations. As of December 31, 2021, the Company held an insignificant amount of cash equivalents which were composed of investments in money market funds. The Company classifies investments in money market funds within Level 1 of the fair value hierarchy as the prices are available from quoted prices in active markets. Investments in repurchase agreements are classified within Level 2 of the fair value hierarchy as these instruments are valued using observable market inputs including reported trades, broker/dealer quotes, bids and/or offers.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iECURE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 August 2021, the Company entered into an Equity Issuance Agreement with iECURE, Inc. (“iECURE”), pursuant to which iECURE granted the Company partial equity ownership in iECURE (the “iECURE equity”) as partial consideration for a license to use the Company’s PCSK9-directed ARCUS nuclease to insert genes into the PCSK9 locus to develop treatments for four pre-specified rare genetic diseases (the “PCSK9 license”). On issuance, the Company accounted for the iECURE equity at fair value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(“ASC 825”). Accordingly, the Company adjusts the carrying value of the iECURE equity to fair value each reporting period with any changes in fair value recorded to other income (expense). There was no assessed change in the fair value of the iECURE equity during the six months ended June 30, 2022.</w:t>
      </w:r>
    </w:p>
    <w:p>
      <w:pPr>
        <w:spacing w:after="0" w:line="187"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The Company classifies the iECURE equity within Level 3 of the fair value hierarchy as the assessed fair value was based on significant unobservable inputs given iECURE equity is not traded on a public exchange. For additional discussion of accounting for the iECURE Development and License agreement (as defined below) and the iECURE Equity Issuance Agreement (as defined below), refer to Note 9, “Collaboration and License Agreements.”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Fees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connection with the Revolving Line Amendment and $20.0 million borrowing under the Revolving Line in May 2022, the Company is required to pay a success fee upon the achievement of a success fee event (as defined in the Revolving Line) and a final payment fee upon maturity of the Revolving Line. The success fee and final payment fee (the “Debt Fees”) were determined to be derivatives under ASC 815, therefore these fees were initially measured at fair value and recorded as debt discount that will be amortized to interest expense over the term of the Revolving Loan. Accordingly, the Company will adjust the carrying value of the Debt Fees to fair value each reporting period with any changes in fair value recorded to other income (expense). There was no assessed change in the fair value of the Debt Fees during the six months ended June 30, 2022.</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classifies the Debt Fees within Level 2 of the fair value hierarchy as the assessed fair value was based on observable market inputs including the Company’s current borrowing rate on the Revolving Line. The success fee and final payment fee are included in the other current liabilities and other liabilities line items of the condensed consolidated balance sheets, respectively, as of June 30,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assets and liabilities measured at fair value on a recurring basis by the Company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23"/>
        </w:trPr>
        <w:tc>
          <w:tcPr>
            <w:tcW w:w="3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gridSpan w:val="2"/>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Repurchase agreements</w:t>
            </w:r>
          </w:p>
        </w:tc>
        <w:tc>
          <w:tcPr>
            <w:tcW w:w="2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Investment in iECURE</w:t>
            </w:r>
          </w:p>
        </w:tc>
        <w:tc>
          <w:tcPr>
            <w:tcW w:w="20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FF0FC"/>
            </w:tcBorders>
            <w:shd w:val="clear" w:color="auto" w:fill="CFF0FC"/>
          </w:tcPr>
          <w:p>
            <w:pPr>
              <w:spacing w:after="0"/>
              <w:rPr>
                <w:sz w:val="19"/>
                <w:szCs w:val="19"/>
                <w:color w:val="auto"/>
              </w:rPr>
            </w:pPr>
          </w:p>
        </w:tc>
        <w:tc>
          <w:tcPr>
            <w:tcW w:w="20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78,106</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17"/>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Success fee</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120" w:type="dxa"/>
            <w:vAlign w:val="bottom"/>
            <w:gridSpan w:val="2"/>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Final payment fee</w:t>
            </w:r>
          </w:p>
        </w:tc>
        <w:tc>
          <w:tcPr>
            <w:tcW w:w="2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204</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17"/>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23"/>
        </w:trPr>
        <w:tc>
          <w:tcPr>
            <w:tcW w:w="37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120" w:type="dxa"/>
            <w:vAlign w:val="bottom"/>
            <w:gridSpan w:val="2"/>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Investment in iECURE</w:t>
            </w:r>
          </w:p>
        </w:tc>
        <w:tc>
          <w:tcPr>
            <w:tcW w:w="2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2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2120" w:type="dxa"/>
            <w:vAlign w:val="bottom"/>
            <w:gridSpan w:val="2"/>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240" w:type="dxa"/>
            <w:vAlign w:val="bottom"/>
          </w:tcPr>
          <w:p>
            <w:pPr>
              <w:spacing w:after="0"/>
              <w:rPr>
                <w:sz w:val="19"/>
                <w:szCs w:val="19"/>
                <w:color w:val="auto"/>
              </w:rPr>
            </w:pPr>
          </w:p>
        </w:tc>
        <w:tc>
          <w:tcPr>
            <w:tcW w:w="88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74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7" w:name="page18"/>
    <w:bookmarkEnd w:id="17"/>
    <w:p>
      <w:pPr>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Elo Transaction</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December 17, 2021, the Company and its wholly owned subsidiary, Elo Life Systems, Inc., entered into the Elo Transaction. In connection with the Elo Transaction, the Company granted New Elo an exclusive license to certain of the Company’s intellectual property for use in non-medical applications with respect to plants, farm animals and certain other organisms. In addition, all of the Company’s employees in its Food segment, including its management, became employees of New Elo.</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Receivable</w:t>
      </w:r>
    </w:p>
    <w:p>
      <w:pPr>
        <w:spacing w:after="0" w:line="189"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As partial consideration for the assets contributed and license granted by the Company to New Elo, the Company received a $10.0 million promissory note payable from New Elo (the “Note Receivable”). The Note Receivable matures on the earlier of (i) December 1, 2028 or (ii) a Deemed Liquidation Event (as defined in the New Elo’s Amended and Restated Certificate of Incorporation). The Note accrues interest at 2.00% per annum, and is payable annually on December 17th.</w:t>
      </w:r>
    </w:p>
    <w:p>
      <w:pPr>
        <w:spacing w:after="0" w:line="13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Note Receivable at acquisition was $6.9 million. The note discount of $3.1 million will be amortized to interest income over the life of the Note.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New Elo</w:t>
      </w:r>
    </w:p>
    <w:p>
      <w:pPr>
        <w:spacing w:after="0" w:line="18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As partial consideration for the assets contributed and license granted by the Company to New Elo, the Company received Common Stock in New Elo. It was determined that the noncontrolling shareholders of New Elo have substantive rights to participate in the financial and operating decisions of New Elo. As such, it was determined that the Company does not possess control over New Elo or have significant decision-making authority. Accordingly, New Elo is not consolidated in the Company’s financial statements.</w:t>
      </w:r>
    </w:p>
    <w:p>
      <w:pPr>
        <w:spacing w:after="0" w:line="13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However, as the Company owns approximately 55% of the voting shares in New Elo, it was determined that the Company possesses the ability to exercise significant influence over the operating and financial policies of New Elo. As such, the Company accounts for its investment in New Elo under the equity method.</w:t>
      </w:r>
    </w:p>
    <w:p>
      <w:pPr>
        <w:spacing w:after="0" w:line="14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proportionate share of New Elo’s net loss for the three and six months ended June 30, 2022 was $1.4 million and $2.4 million, respectively, resulting in a decrease in the carrying value of the Investment in New Elo and corresponding loss from equity method investment.</w:t>
      </w:r>
    </w:p>
    <w:p>
      <w:pPr>
        <w:spacing w:after="0" w:line="333"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COLLABORATION AND 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 with Novartis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On June 14, 2022, the Company entered into a collaboration and license agreement (the “Novartis Agreement”) with Novartis Pharma AG ( “Novartis”), which became effective on June 15, 2022 (the “Novartis Effective Date”), to collaborate to discover and develop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products incorporating our custom ARCUS nucleases for the purpose of seeking to research and develop potential treatments for certain diseases (as defined in the Novartis Agreement, the “Licensed Products”). Any initial Licensed Products will be developed for the potential treatment of certain hemoglobinopathies, including sickle cell disease and beta thalassemia.</w:t>
      </w:r>
    </w:p>
    <w:p>
      <w:pPr>
        <w:spacing w:after="0" w:line="1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terms of the Novartis Agreement, the Company will develop an ARCUS nuclease and conduct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characterization for the Licensed Products, with Novartis then assuming responsibility for all subsequent development, manufacturing and commercialization activities. Novartis will receive an exclusive license for, and be required to use commercially reasonable efforts to conduct all subsequent research, development, manufacture and commercialization activities with respect to the Licensed Products. The Company will initially develop a single, custom ARCUS nuclease for a defined “safe harbor” target site for insertion of specified therapeutic payloads in the patient’s genome (the “Initial Nuclease”) for Novartis to further develop as a potential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treatment option for certain hemoglobinopathies, including sickle cell disease and beta thalassemia. Pursuant to the terms of the Novartis Agreement, Novartis may elect, subject to payment of a fee to the Company, to replace Licensed Products based on the Initial Nuclease with Licensed Products based on a second custom ARCUS nuclease the Company designs for gene editing of a specified human gene target associated with hemoglobinopathies (the “Replacement Nuclease”). Additionally, Novartis has the option, upon payment of a fee to the Company for each exercise of the option, to include Licensed Products utilizing the Initial Nuclease for insertion of up to three additional specified therapeutic payloads at the “safe harbor” target site, each intended to treat a particular genetic disease. The exercise period for such option ends on the earlier of (a) the fourth anniversary of the Novartis Effective Date and (b) the replacement of the Initial Nuclease with the Replacement Nuclease as described above.</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Upon execution of the Novartis Agreement, the Company invoiced Novartis $50.0 million for the upfront cash payment, which was received after quarter end. Additionally, on the Novartis Effective Date Novartis made an equity investment of $25.0 million in the Company’s common stock pursuant to a stock purchase agreement (the “Novartis Stock Purchase Agreement”) pursuant to which, 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8" w:name="page19"/>
    <w:bookmarkEnd w:id="18"/>
    <w:p>
      <w:pPr>
        <w:ind w:right="40"/>
        <w:spacing w:after="0" w:line="255" w:lineRule="auto"/>
        <w:rPr>
          <w:sz w:val="20"/>
          <w:szCs w:val="20"/>
          <w:color w:val="auto"/>
        </w:rPr>
      </w:pPr>
      <w:r>
        <w:rPr>
          <w:rFonts w:ascii="Times New Roman" w:cs="Times New Roman" w:eastAsia="Times New Roman" w:hAnsi="Times New Roman"/>
          <w:sz w:val="18"/>
          <w:szCs w:val="18"/>
          <w:color w:val="auto"/>
        </w:rPr>
        <w:t>the Novartis Effective Date, the Company issued and sold to Novartis 12,407,440 shares of the Company’s common stock (the “Novartis Shares”) in a private placement transaction for an aggregate purchase price of $25.0 million, or approximately $2.01 per share. The price per share of the Company’s common stock under the Novartis Stock Purchase Agreement represented a 20% premium over the volume-weighted-average-price of the Company’s common stock over the 10 trading days preceding the execution date of the Novartis Stock Purchase Agreement. Management concluded that the Novartis Stock Purchase Agreement was to be combined with the Novartis Agreement for accounting purposes. Of the total $75.0 million upfront compensation, the Company applied equity accounting guidance to measure the $11.6 million recorded in equity upon the issuance of the shares, and $63.4 million was identified as transaction price allocated to the revenue arrangement.</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Pursuant to the Novartis Stock Purchase Agreement, subject to certain exceptions, Novartis may not sell the Novartis Shares without the Company’s approval for a period of two years following the Novartis Effective Date. In addition, for a period of two years following the Novartis Effective Date, Novartis and its affiliates may not (a) effect or otherwise participate in, directly or indirectly, any acquisition of any of our securities or material assets, any tender offer or exchange offer, merger or other business combination or change of control involving the Company, any recapitalization, restructuring, liquidation, dissolution or other extraordinary transaction with respect to the Company, or any solicitation of proxies or consents to vote any of the Company’s securities or (b) act with any other person, or publicly disclose any intention, to do any of the foregoing. The Novartis Stock Purchase Agreement also contains customary representations, warranties, and covenants of both parties.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the Novartis Effective Date, the Company and Novartis also entered into a registration rights agreement (the “Registration Rights Agreement”) pursuant to which the Company has agreed, within the time periods specified in the Registration Rights Agreement, to register the resale of the Novartis Shares on a registration statement to be filed with the SEC. The Registration Rights Agreement contains customary indemnification provisions, and all registration rights terminate in their entirety effective on the first date on which there cease to be any Registrable Securities (as defined in the Registration Rights Agreement) outstanding.</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will also be eligible to receive milestone payments of up to an aggregate of approximately $1.4 billion as well as certain research funding. If Licensed Products resulting from the collaboration are approved and sold, the Company will also be entitled to receive tiered royalties ranging from the mid-single digit to low-double digit percentages on net sales of Licensed Products, subject to customary potential reductions. Novartis’s obligation to pay royalties to us expires on a country-by-country and Licensed Product-by-Licensed Product basis, upon the latest to occur of certain events related to expiration of patents, regulatory exclusivity or a period of ten years following the first commercial sale of the Licensed Product.</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Unless earlier terminated, the Novartis Agreement will remain in effect on a Licensed Product-by-Licensed Product and country-by-country basis until the expiration of a defined royalty term for each Licensed Product and country. Novartis has the right to terminate the Novartis Agreement without cause by providing advance notice to the Company. Either party may terminate the Novartis Agreement for material breach by the other party and a failure to cure such breach within the time period specified in the Novartis Agreement. The Company may also terminate the Novartis Agreement in the event that Novartis brings a challenge to our patents.</w:t>
      </w:r>
    </w:p>
    <w:p>
      <w:pPr>
        <w:spacing w:after="0" w:line="21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assessed the Novartis Agreement in accordance with ASC 606 and concluded that the promises in the agreement represent transactions with a customer. The Company has determined that the promises associated with the research and development activities for each of the targets are not distinct because they are all based on the ARCUS proprietary genome editing platform. The Company has concluded that the agreement with Novartis contains the following promises: (i) license of intellectual property; (ii) performance of research and development (“R&amp;D”) services, and (iii) Joint Steering Committee (“JSC”) participation. The Company determined that the license of intellectual property and R&amp;D services were not distinct from each other, as the license and R&amp;D services are highly interdependent upon one another. The JSC participation was determined to be an immaterial promise as the time commitment and related cost associated with performance of JSC participation is expected to be inconsequential to the total consideration in the contract. As such, the Company determined that these promises should be combined into a single performance obligation.</w:t>
      </w:r>
    </w:p>
    <w:p>
      <w:pPr>
        <w:spacing w:after="0" w:line="1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recognizes revenue from the $50.0 million upfront cash payment, $13.4 million allocated to the transaction price from the Novartis Stock Purchase Agreement, and variable consideration on an input method in the form of research effort relative to expected research effort at the completion of the performance obligation, which is based on the actual hours of research work performed relative to expected hours of research work to be incurred in the future to satisfy the performance obligation. Management will evaluate and adjust the total expected research effort for the performance obligation on a quarterly basis based upon actual research hours incurred to date relative to research hour forecasts. The transfer of control occurs over this time period and, in management’s judgment, is the best measure of progress towards satisfying the performance obligation.</w:t>
      </w:r>
    </w:p>
    <w:p>
      <w:pPr>
        <w:spacing w:after="0" w:line="18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did not recognize any revenue under the Novartis Agreement. Deferred revenue related to the Novartis Agreement amounted to $63.4 million as of June 30, 2022, of which $22.6 million, was included in current liabilities within the condensed consolidated balance sheets.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Development and License Agreement with Eli Lilly</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November 19, 2020, the Company, entered into a development and license agreement, subsequently amended by the First Amendment to the Development and License Agreement dated August 9, 2021 (as amended, the “Lilly Agreement”) with Eli Lilly and Company (“Lilly”) to collaborate to discover and develop in vivo gene editing products incorporating the Company’s ARCUS nucleases. Lilly has initially nominated Duchenne muscular dystrophy, a liver-directed target and a central nervous system directed target. Under the terms of the Development and License Agreement, Lilly has the right to nominate up to three additional gene targets for genetic disorders over the initial nomination period of four years. Lilly may extend the nomination period for an additional two years from the date on which such initial Nomination Period ends, upon Lilly’s election and payment of an extension fee. Additionally, under the terms of the Lilly Agreement, Lilly has the option to replace up to two gene targets upon Lilly’s election and payment of a replacement target fee. Under the terms of the Lilly Agreement, Lilly will receive an exclusive license to research, develop, manufacture and commercialize the resulting licensed products to diagnose, prevent and treat any and all diseases by in vivo gene editing directed against the applicable gene target. The Lilly Agreement provides that the Company will be responsible for conducting certain pre-clinical research and investigational new drug application (“IND”) enabling activities with respect to the gene targets nominated by Lilly to be subject to the collaboration, including manufacture of initial clinical trial material for the first licensed product. Lilly will be responsible for, and must use commercially reasonable efforts with respect to, conducting clinical development and commercialization activities for licensed products resulting from the collaboration, and may engage the Company for additional clinical and/or initial commercial manufacture of licensed products.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closing of the Lilly Agreement on January 6, 2021, the Company received an upfront cash payment of $100.0 million. The Company will also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to receive milestone payments of up to an aggregate of $420.0 million per licensed product as well as nomination fees for additional targets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research funding. If licensed products resulting from the collaboration are approved and sold, the Company will also be entitled to receive tiered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royalties ranging from the mid-single digit percentages to the low-teens percentages on world-wide net sales of the licensed products, subject to customary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reductions. Lilly’s obligation to pay royalties to the Company expires on a country-by-country and licensed product-by-licensed product basis,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latest to occur of certain events related to expiration of patents, regulatory exclusivity or a period of ten years following first commercial sale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licensed product. Simultaneously with the entry into the Lilly Agreement, the Company and Lilly entered into a Share Purchase Agreement (the “Lilly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Purchase Agreement”), pursuant to which Lilly purchased 3,762,190 shares of the Company’s common stock for a purchase price of $35.0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concluded that the Lilly Share Purchase Agreement was to be combined with the Lilly Agreement for accounting purposes. Of the total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$135.0 million upfront compensation, the Company applied equity accounting guidance to measure the $27.7 million recorded in equity upon the issuance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shares, and $107.3 million was identified as the transaction price allocated to the revenue arrangement.</w:t>
      </w:r>
    </w:p>
    <w:p>
      <w:pPr>
        <w:spacing w:after="0" w:line="207"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The Company assessed this arrangement in accordance with ASC 606 and concluded that the promises in the agreement represent transactions with a customer. The Company has determined that the promises associated with the research and development activities for each of the targets are not distinct because they are all based on the ARCUS proprietary genome editing platform. The Company has concluded that the agreement with Lilly contains the following promises: (i) license of intellectual property; (ii) performance of R&amp;D services, (iii) the manufacture of pre-clinical supply, (iv) Joint Steering Committee (“JSC”) Participation, and (v) regulatory responsibilities. The Company determined that the license of intellectual property, R&amp;D services, manufacture of pre-clinical development material, and regulatory responsibilities were not distinct from each other, as the license, R&amp;D services, pre-clinical supply, and regulatory responsibilities are highly interdependent upon one another. The JSC participation was determined to be an immaterial promise as the time commitment and related cost associated with performance of JSC participation is expected to be inconsequential to the total consideration in the contract. As such, the Company determined that these promises should be combined into a single performance obligation.</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recognizes revenue from the $100.0 million upfront cash payment, $7.3 million allocated to the transaction price from the Lilly Share Purchase Agreement, and variable consideration on an input method in the form of research effort relative to expected research effort at the completion of the performance obligation, which is based on the actual time of R&amp;D activities performed relative to expected time to be incurred in the future to satisfy the performance obligation. Management evaluates and adjusts the total expected research effort for the performance obligation on a quarterly basis based upon actual research progress to date relative to research progress forecasts. The transfer of control occurs over this time period and, in management’s judgment, is the best measure of progress towards satisfying the performance obligation.</w:t>
      </w:r>
    </w:p>
    <w:p>
      <w:pPr>
        <w:spacing w:after="0" w:line="21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During the three months ended June 30, 2022 and 2021, the Company recognized revenue under the Lilly Agreement of $3.8 million and $5.3 million, respectively. During the six months ended June 30, 2022 and 2021, the Company recognized revenue under the Lilly Agreement of approximately $7.1 million and $10.7 million, respectively. Deferred revenue related to the Lilly Agreement amounted to $82.1 million and $88.3 million as of June 30, 2022 and December 31, 2021, respectively, of which $18.9 million and $21.2 million was included in current liabilities within the condensed consolidated balance sheets.</w:t>
      </w: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82" w:right="4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Development and License Agreement with iECURE</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August 2021, the Company entered into a development and license agreement with iECURE (the “iECURE Development and License Agreement”) under which iECURE plans to advance the Company’s PBGENE-PCSK9 candidate through Phase 1 studies and gain access to Precision’s PCSK9-directed ARCUS nuclease to develop four other pre-specified rare gene editing therapies for genetic diseases (the “iECURE Agreement”).</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the iECURE Agreement, the Company retains the rights to PBGENE-PCSK9, including all products developed for genetic indications with increased risk of severe cardiovascular events such as Familial Hypercholesterolemia (“FH”). In return, the Company granted iECURE a license to use its PCSK9-directed ARCUS nuclease to insert genes into the PCSK9 locus to develop treatments for four other pre-specified rare genetic diseases, including ornithine transcarbamylase (“OTC”) deficiency, Citrullinemia Type 1 (“CTLN1”), phenylketonuria (“PKU”), and another program focused on liver disease. Simultaneously with the entry into the iECURE Agreement, the Company and iECURE entered into an Equity Issuance Agreement (the “iECURE Equity Issuance Agreement”), pursuant to which iECURE granted the Company partial equity ownership in iECURE as partial consideration for the PCSK9 license. Management concluded that the iECURE Equity Issuance Agreement was to be combined with the iECURE Development and License Agreement (together, the “iECURE Agreements”) for accounting purposes. Additionally, the Company is eligible to receive milestone and mid-single digit to low double digit royalty payments on sales of iECURE products developed with ARCUS.</w:t>
      </w:r>
    </w:p>
    <w:p>
      <w:pPr>
        <w:spacing w:after="0" w:line="1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fair value of the iECURE equity at inception of the iECURE agreements was assessed to be $0.5 million and was initially recorded to the investment in equity securities line item of the condensed consolidated balance sheets. As further discussed in Note 7, “Fair Value Measurements,” on issuance, Management elected to account for the iECURE equity at fair value under ASC 825. Accordingly, the Company adjusts the carrying value of the iECURE equity to fair value each reporting period with any changes in fair value recorded to other income (expense). There was no assessed change in the fair value of the iECURE equity during the six months ended June 30, 2022. The fair value of the costs to be incurred by iECURE to progress the Company’s PBGENE-PCSK9 candidate through Phase 1 studies (the “PCSK9 Prepaid”) was assessed to be $17.4 million and was recorded to the prepaid expenses and other assets line items of the condensed consolidated balance sheets in the amounts of $15.1 million and $2.3 million, respectively. The PCSK9 Prepaid will be amortized to research and development expense on a pro-rata basis as iECURE incurs costs to progress the PBGENE-PCSK9 candidate through Phase 1 studies.</w:t>
      </w:r>
    </w:p>
    <w:p>
      <w:pPr>
        <w:spacing w:after="0" w:line="188"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the Company recognized $1.7 million of research and development expense related to amortization of the PCSK9 Prepaid. As of June 30, 2022, the remaining balance of the PCSK9 prepaid was $11.2 million, which was included in the prepaid expenses and other assets line items of the condensed consolidated balance sheets in the amounts of $4.2 million and $7.0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and Commercial License Agreement with Servier</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has developed certain allogeneic CAR T candidates, including PBCAR0191 and the stealth cell PBCAR19B, each targeting CD19, as well as four additional product targets under the Servier Agreement. Pursuant to the terms of the Program Purchase Agreement, the Company regained full global rights to research, develop, manufacture and commercialize products resulting from such programs, with sole control over all activities. Additionally, per the terms of the Program Purchase Agreement the Company does not have an obligation to continue development of the Servier Targets. With respect to products directed to CD19, Servier has certain rights of negotiation, which may be exercised during a specified time period if the Company elects to initiate a process or entertain third party offers for partnering such products.</w:t>
      </w:r>
    </w:p>
    <w:p>
      <w:pPr>
        <w:spacing w:after="0" w:line="18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Pursuant to the terms of the Program Purchase Agreement, the Company made a payment of $1.25 million in cash to Servier and agreed to waive earned milestones totaling $18.75 million that would have been otherwise payable to the Company. The Program Purchase Agreement also requires the Company to make certain payments to Servier based on the achievement of regulatory and commercial milestones for each product, and a low- to mid-single-digit percentage royalty (subject to certain reductions) based on net sales of approved products, if any, resulting from any continued development and commercialization of the programs by the Company, for a period not to exceed ten years after first commercial sale of the applicable product in the United States or certain countries in Europe. If the Company enters into specified product partnering transactions, the Program Purchase Agreement requires the Company to pay to Servier a portion of certain consideration received pursuant to such product partnering transactions in lieu of the foregoing milestones (with the exception of a one-time clinical phase development milestone) and royalties. For additional discussion of accounting for payment obligations arising from the Program Purchase Agreement, refer to Note 4, “Commitments and Contingencies.”</w:t>
      </w:r>
    </w:p>
    <w:p>
      <w:pPr>
        <w:spacing w:after="0" w:line="200"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The Company did not recognize any revenue under the Servier Agreement during the six months ended June 30, 2022. During the six months ended June 30, 2021, the Company recognized revenue under the Servier Agreement of approximately $72.9 million. The Company did not have deferred revenue related to the Servier Agreement as of June 30, 2022 or December 31, 2021.</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21" w:name="page22"/>
    <w:bookmarkEnd w:id="21"/>
    <w:p>
      <w:pPr>
        <w:spacing w:after="0"/>
        <w:tabs>
          <w:tab w:leader="none" w:pos="166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8"/>
          <w:szCs w:val="18"/>
          <w:b w:val="1"/>
          <w:bCs w:val="1"/>
          <w:color w:val="auto"/>
        </w:rPr>
        <w:t>NET (LOSS) INCOME PER SHARE</w:t>
      </w:r>
    </w:p>
    <w:p>
      <w:pPr>
        <w:spacing w:after="0" w:line="18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calculates basic net (loss) income per share by dividing net (loss) income for each respective period by the weighted average number of common shares outstanding for each respective period. The Company computes diluted (loss) income per share after giving consideration to the dilutive effect of stock options and unvested restricted stock that are outstanding during the period, except where such securities would be anti-dilutive.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computations of basic and diluted net (loss) income per share attributable to common stockholders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(in thousands)</w:t>
            </w:r>
          </w:p>
        </w:tc>
        <w:tc>
          <w:tcPr>
            <w:tcW w:w="1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(31,035)</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21,656</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(59,203)</w:t>
            </w:r>
          </w:p>
        </w:tc>
        <w:tc>
          <w:tcPr>
            <w:tcW w:w="3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weighted average common shares</w:t>
            </w: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67,954,688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57,739,622</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64,512,356</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57,185,402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Dilutive impact of share-based awards</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2,102,017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2,461,966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weighted-average common shares</w:t>
            </w:r>
          </w:p>
        </w:tc>
        <w:tc>
          <w:tcPr>
            <w:tcW w:w="1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67,954,688</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59,841,638</w:t>
            </w:r>
          </w:p>
        </w:tc>
        <w:tc>
          <w:tcPr>
            <w:tcW w:w="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64,512,356</w:t>
            </w:r>
          </w:p>
        </w:tc>
        <w:tc>
          <w:tcPr>
            <w:tcW w:w="3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59,647,367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1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3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3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130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3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weighted-average common stock equivalents were excluded from the calculation of diluted net (loss) income per share because their inclusion would have been anti-dilutive: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26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72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1360" w:type="dxa"/>
            <w:vAlign w:val="bottom"/>
            <w:tcBorders>
              <w:bottom w:val="single" w:sz="8" w:color="CFF0FC"/>
            </w:tcBorders>
          </w:tcPr>
          <w:p>
            <w:pPr>
              <w:spacing w:after="0"/>
              <w:rPr>
                <w:sz w:val="19"/>
                <w:szCs w:val="19"/>
                <w:color w:val="auto"/>
              </w:rPr>
            </w:pPr>
          </w:p>
        </w:tc>
        <w:tc>
          <w:tcPr>
            <w:tcW w:w="3900" w:type="dxa"/>
            <w:vAlign w:val="bottom"/>
            <w:tcBorders>
              <w:bottom w:val="single" w:sz="8" w:color="CFF0FC"/>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bottom w:val="single" w:sz="8" w:color="CFF0FC"/>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Borders>
              <w:bottom w:val="single" w:sz="8" w:color="CFF0FC"/>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bottom w:val="single" w:sz="8" w:color="CFF0FC"/>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2,310,570</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208,488</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1,780,491</w:t>
            </w: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39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723,854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4,192,400</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1,227,993</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3,707,571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Unsettled ESPP Contributions</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36,645</w:t>
            </w:r>
          </w:p>
        </w:tc>
        <w:tc>
          <w:tcPr>
            <w:tcW w:w="26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25,735</w:t>
            </w:r>
          </w:p>
        </w:tc>
        <w:tc>
          <w:tcPr>
            <w:tcW w:w="32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24,700</w:t>
            </w:r>
          </w:p>
        </w:tc>
        <w:tc>
          <w:tcPr>
            <w:tcW w:w="38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2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Total common stock equivalents excluded from diluted net loss per</w:t>
            </w: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share</w:t>
            </w:r>
          </w:p>
        </w:tc>
        <w:tc>
          <w:tcPr>
            <w:tcW w:w="3900" w:type="dxa"/>
            <w:vAlign w:val="bottom"/>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3,071,069</w:t>
            </w:r>
          </w:p>
        </w:tc>
        <w:tc>
          <w:tcPr>
            <w:tcW w:w="26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4,426,623</w:t>
            </w:r>
          </w:p>
        </w:tc>
        <w:tc>
          <w:tcPr>
            <w:tcW w:w="32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3,033,184</w:t>
            </w:r>
          </w:p>
        </w:tc>
        <w:tc>
          <w:tcPr>
            <w:tcW w:w="38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3,830,130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11:</w:t>
            </w:r>
          </w:p>
        </w:tc>
        <w:tc>
          <w:tcPr>
            <w:tcW w:w="39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SEGMENT REPORTING</w:t>
            </w: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360" w:type="dxa"/>
            <w:vAlign w:val="bottom"/>
            <w:vMerge w:val="continue"/>
          </w:tcPr>
          <w:p>
            <w:pPr>
              <w:spacing w:after="0"/>
              <w:rPr>
                <w:sz w:val="24"/>
                <w:szCs w:val="24"/>
                <w:color w:val="auto"/>
              </w:rPr>
            </w:pPr>
          </w:p>
        </w:tc>
        <w:tc>
          <w:tcPr>
            <w:tcW w:w="390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has determined that the Chief Executive Officer (“CEO”) is the Company’s chief operating decision maker (“CODM”) as the CEO makes decisions as it relates to allocation of resources and key market strategies. The CODM reviews financial information presented on a consolidated basis. Additionally, resource allocation and key market strategy decisions are made by the CODM based on consolidated results. As such, it was concluded that the Company operates as one segment.</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the related notes to those statements included elsewhere in this Quarterly Report on Form 10-Q.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important factors, including those set forth in Part II. Item 1A. “Risk Factors” of this Quarterly Report on Form 10-Q, our actual results could differ materially from the results described in, or implied by, these forward-looking statements. As used in this Quarterly Report on Form 10-Q, unless the context otherwise requires, references to “we,” “us,” “our,” the “Company” and “Precision” refer to Precision BioSciences, Inc. and its subsidiaries on a consolidated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 xml:space="preserve">We are a clinical stage gene editing company dedicated to improving life by developing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allogeneic chimeric antigen receptor (“CAR”) T immunotherapies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therapies for genetic and infectious diseases with the application of our wholly owned proprietary ARCUS genome editing platform. The foundation of ARCUS is a natural homing endonuclease which allows us to replicate precise gene editing as it evolved in nature. ARCUS is designed to be precise in its specificity and versatile in its design for gene knock out as well as complex edits with gene insertion and gene repair. ARCUS is also unique in its relatively small size which potentially allows delivery to a wider range of cells and tissues using viral and non-viral gene delivery methods.</w:t>
      </w:r>
    </w:p>
    <w:p>
      <w:pPr>
        <w:spacing w:after="0" w:line="18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We believe our CAR T cells are the only allogeneic CAR T cells in human clinical trials made with a single gene editing step designed to specifically avoid the potentially deleterious effects of making multiple edits to T cells. We are simultaneously conducting a Phase 1/2a clinical trial evaluating PBCAR0191, azercabtagene zapreleucel (azer-cel), as a potential first-in-class, if approved, and a Phase 1 clinical trial evaluating PBCAR19B as a potential best-in-class, if approved, CD19-targeting CAR T cell therapy in adult patients with relapsed or refractory (“R/R”), B-cell malignancies. We are also conducting a Phase 1/2a clinical trial evaluating PBCAR269A as an investigational allogeneic CAR T cell candidate targeting B-cell maturation antigen (“BCMA”) for R/R multiple myeloma in combination with nirogacestat, a gamma secretase inhibitor (“GSI”) developed by SpringWorks Therapeutics.</w:t>
      </w:r>
    </w:p>
    <w:p>
      <w:pPr>
        <w:spacing w:after="0" w:line="17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Made from donor-derived T cells modified using our ARCUS genome editing technology, PBCAR0191 recognizes the well characterized tumor cell surface protein CD19, an important and validated target in several B-cell cancers. PBCAR0191 is designed to avoid graft-versus-host disease, a significant complication associated with donor-derived, cell-based therapies. In June 2022, we provided an interim clinical update and outlined the opportunity for PBCAR0191 for the growing CAR T relapsed patient population with aggressive lymphomas. As of the May 31, 2022 data cutoff, continued positive efficacy results, including high overall and complete response (“CR”) rates and duration of response, and an improved adverse event profile have been observed among evaluable CAR T relapsed subjects. This included six subjects who received PBCAR0191 Dose Level (“DL”) 3 of 3 × 10</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 xml:space="preserve"> cells/kg with enhanced lymphodepletion of fludarabine 30 mg/m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/day × 4 days + cyclophosphamide 1000 mg/m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/day × 3 days (the “ASH Cohort”) and six subjects who received PBCAR0191 DL4b, a flat dose of 500 × 10</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 xml:space="preserve"> cells, with reduced dose lymphodepletion of fludarabine 30 mg/m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/day × 4 days + cyclophosphamide 750 mg/m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/day × 3 days since January 2022 (the “New Cohort”). Among 11 subjects evaluable for response, the program update reported efficacy across both the ASH Cohort and New Cohort achieved 100% (11/11) overall response rate (“ORR”) and 73% (8/11) CR rate. Six subjects were in ongoing response (up to 18+ months). In the ASH Cohort, 50% (3/6) of evaluable subjects had a response duration greater than six months. Among subjects treated with DL4b and reduced intensity lymphodepletion in the New Cohort, 100% CR was achieved among evaluable subjects (5/5). One subject was non-evaluable at the Day 28 assessment due to death from suspected fludarabine-associated neurotoxicity on Day 23. The subject had complete resolution of disease according to a CT scan on Day 21.</w:t>
      </w:r>
    </w:p>
    <w:p>
      <w:pPr>
        <w:spacing w:after="0" w:line="19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No Grade 3 or greater cytokine release syndrome (“CRS”) was observed in either dosing cohort. One Grade 3 immune effector cell-associated neurotoxicity syndrome (“ICANS”) was recorded in each cohort that rapidly resolved to Grade 1 within 24 to 48 hours. Two Grade 5 events associated with late occurring encephalopathy suspected to be related to fludarabine-associated neurotoxicity occurred in the New Cohort. There was no evidence of graft versus host disease in either cohort. Grade 3 or greater infections occurred less frequently in the New Cohort with one out of six (17%) subjects compared to four out of six (67%) subjects in the ASH Cohort.</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provided interim updates in June 2022 on the PBCAR19B and PBCAR269A allogeneic CAR T clinical programs. In the second half of 2022, we plan to continue dosing subjects with optimized PBCAR0191 in the CAR T relapsed patient population while further reducing the lymphodepletion dose to standard levels with the goal of improving upon the overall therapeutic index. We expect to provide the next update on our clinical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allogeneic CAR T programs toward year end 2022.</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PBCAR19B is a novel immune-evading stealth cell candidate employing a single-gene edit that knocks-down beta-2 microglobulin to evade T cell rejection, while also inserting a human leukocyte antigen E transgene to further evade rejection from natural killer cells. A flat dose of 270 million cells following standard lymphodepletion of fludarabine 30 mg/m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/day × 3 days + cyclophosphamide 1000 mg/m</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/day × 3 days has been administered to three subjects with R/R diffuse large B-cell lymphoma (“DLBCL”). We plan to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commence dosing in the third quarter of 2022 at DL2 (flat dose of 540 million cells) with clinical trial material from an optimized manufacturing process.</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PBCAR269A is an investigational allogeneic CAR T cell candidate targeting BCMA for R/R multiple myeloma. We have continued to enroll subjects in a Phase 1/2a study in combination with nirogacestat, a GSI developed by SpringWorks Therapeutics. We have completed DL2 (2.0 × 10</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 xml:space="preserve"> cells/kg) of PBCAR269A plus GSI and are initiating the next cohort at DL3 (480 ×10</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 xml:space="preserve"> cells flat dose) to further evaluate efficacy. To date, peak expansion rates observed at DL2 plus the GSI have been equivalent to DL4 (960 × 10</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 xml:space="preserve"> cells flat dose) monotherapy with no dose limiting toxicities observed.</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November 2021, we announced that we will not continue development for PBCAR20A based on data observed to date in a heterogeneous R/R NHL population previously treated with anti-CD20 monoclonal antibodies, as treatment with PBCAR20A did not result in compelling response rates in a Phase 1/2a clinical study. We intend to focus our clinical efforts in R/R lymphoma on CD19 targeting programs, as we believe CD19 is a more robust antigenic target in R/R heterogeneous NHL populations. All subjects enrolled in the study and evaluated for treatment with PBCAR20A had acceptable tolerability with no GvHD, no Grade ≥ 3 cytokine release syndrome, and no Grade ≥ 3 neurotoxicity.</w:t>
      </w:r>
    </w:p>
    <w:p>
      <w:pPr>
        <w:spacing w:after="0" w:line="18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We expect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therapies for genetic and infectious diseases to be a significant focus of our operations long-term because the differentiated attributes of ARCUS are particularly advantageous for this type of application.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correction involves the delivery of ARCUS nucleases directly into a patient’s cells to treat disease at the level of the underlying DNA.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genome editing is more complex and challenging than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approaches like CAR T cells due to the need to safely deliver ARCUS directly to cells in the body. We believe that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applications are particularly well suited to ARCUS because they require extremely low levels of off-target editing and efficient delivery.</w:t>
      </w:r>
    </w:p>
    <w:p>
      <w:pPr>
        <w:spacing w:after="0" w:line="18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June 2022, we announced we entered into an exclusive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research and development collaboration and license agreement (the “Novartis Agreement”) with Novartis Pharma AG (“Novartis”) to develop a custom ARCUS nuclease that will be designed to insert,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 therapeutic transgene at a “safe harbor” location in the genome as a potential one-time transformative treatment option for diseases including certain hemoglobinopathies such as sickle cell disease and beta thalassemia. Under the terms of the Novartis Agreement, we will develop an ARCUS nuclease and conduct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characterization, with Novartis then assuming responsibility for all subsequent research, development, manufacturing and commercialization activities.</w:t>
      </w:r>
    </w:p>
    <w:p>
      <w:pPr>
        <w:spacing w:after="0" w:line="18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Also in the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pipeline, we continue our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collaboration with Eli Lilly and Company (“Lilly”) in applying ARCUS nucleases to three initial targets, including Duchenne muscular dystrophy in muscle, a central nervous system directed target and a liver directed target. Our wholly owned programs include PBGENE-PCSK9 for the treatment of familial hypercholesterolemia (“FH”), PBGENE-PH1 for the treatment of primary hyperoxaluria type 1 (“PH1”) and PBGENE-HBV for the treatment of chronic hepatitis B virus (“HBV”).</w:t>
      </w:r>
    </w:p>
    <w:p>
      <w:pPr>
        <w:spacing w:after="0" w:line="18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initiated IND-enabling activities for our PBGENE-PH1 candidate designed to knock out the HAO1 gene as a potential one-time treatment for PH1. In the first quarter of 2022, we commenced a non-human primate (“NHP”) study for PBGENE-PH1 delivered by lipid nanoparticle (“LNP”) and are targeting an IND/CTA submission in 2023, subject to evaluation of data from the ongoing preclinical NHP study. Preclinical data for our PBGENE-PH1 was presented at the 2022 American Society of Gene and Cell Therapy (“ASGCT”) Annual Meeting and demonstrated a robust knockdown of the HAO1 protein in NHPs following a single administration of an ARCUS nuclease via adeno-associated virus (“AAV”).</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Our gene editing program for chronic HBV applies ARCUS to knock out persistent covalently closed circular DNA and inactivate integrated HBV genomes, potentially achieving durable HBV S-antigen (“HBsAg”) loss and reducing viral persistence. In May 2022, data from this program was presented during the Gene Editing in Cancer and Complex Diseases oral session at the ASGCT Annual Meeting. The same month, we also announced preclinical data from our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program targeting HBV was published online in </w:t>
      </w:r>
      <w:r>
        <w:rPr>
          <w:rFonts w:ascii="Times New Roman" w:cs="Times New Roman" w:eastAsia="Times New Roman" w:hAnsi="Times New Roman"/>
          <w:sz w:val="18"/>
          <w:szCs w:val="18"/>
          <w:i w:val="1"/>
          <w:iCs w:val="1"/>
          <w:color w:val="auto"/>
        </w:rPr>
        <w:t>Molecular Therapy</w:t>
      </w:r>
      <w:r>
        <w:rPr>
          <w:rFonts w:ascii="Times New Roman" w:cs="Times New Roman" w:eastAsia="Times New Roman" w:hAnsi="Times New Roman"/>
          <w:sz w:val="18"/>
          <w:szCs w:val="18"/>
          <w:color w:val="auto"/>
        </w:rPr>
        <w:t xml:space="preserve">. As reported in both forums, ARCUS efficiently targeted and degraded HBV cccDNA by 85% and reduced expression of HBsAg by 77% in HBV-infected primary human hepatocytes (“PHH”). Importantly, the optimized specificity of the ARCUS nuclease completely prevented detectable chromosomal translocations in the PHH model. To evaluate ARCUS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novel mouse and non-human primate models were developed that utilized an episomal AAV containing a portion of the HBV genome to serve as a surrogate for cccDNA. After administration of LNP containing ARCUS mRNA, high on-target editing and a robust decrease in the cccDNA surrogate was observed in both episomal models, along with a durable 96% reduction of HBsAg in mice. Our PBGENE-HBV candidate is in pre-clinical development and we are targeting an IND/CTA submission in 2024 following completion of pre-clinical and IND enabling studies.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24" w:name="page25"/>
    <w:bookmarkEnd w:id="24"/>
    <w:p>
      <w:pPr>
        <w:spacing w:after="0" w:line="255" w:lineRule="auto"/>
        <w:rPr>
          <w:sz w:val="20"/>
          <w:szCs w:val="20"/>
          <w:color w:val="auto"/>
        </w:rPr>
      </w:pPr>
      <w:r>
        <w:rPr>
          <w:rFonts w:ascii="Times New Roman" w:cs="Times New Roman" w:eastAsia="Times New Roman" w:hAnsi="Times New Roman"/>
          <w:sz w:val="18"/>
          <w:szCs w:val="18"/>
          <w:color w:val="auto"/>
        </w:rPr>
        <w:t>In August 2021, we entered into a development and license agreement (the “iECURE Agreement”) with iECURE, Inc. (“iECURE”). Under the iECURE Agreement, iECURE will advance our wholly owned PBGENE-PCSK9 candidate through preclinical activities as well as a Phase 1 clinical trial in FH. As of the date of this Quarterly Report on Form 10-Q, IND enabling activities for PBGENE-PCSK9 have not been completed. We are in discussions with iECURE and will provide an update on the program when more information is available. iECURE will also use our PCSK9-directed ARCUS nuclease to develop gene-insertion therapies for four other pre-specified rare genetic diseases, including ornithine transcarbamylase (“OTC”) deficiency, Citrullinemia Type 1 (“CTLN1”), phenylketonuria (“PKU”), and another program focused on liver disease. We received a partial equity stake in iECURE and are eligible to receive milestone and mid-single digit to low double digit royalty payments on sales of iECURE products developed with ARCUS.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December 2021, we announced our entry into an agreement with a syndicate of investors led by ACCELR8 to separate our wholly owned subsidiary, Elo Life Systems, Inc. (“Elo”), and create an independent food and agriculture business (“New Elo”). As partial consideration for the assets contributed and license granted to New Elo, we received a $10.0 million promissory note payable from New Elo (the “Note Receivable”) and common stock in New Elo. The Note Receivable matures on the earlier of (i) December 1, 2028 or (ii) a Deemed Liquidation Event (as defined in the New Elo’s Amended and Restated Certificate of Incorporation). The Note Receivable accrues interest at 2.00% per annum, and is payable annually on December 17th.</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Since our formation in 2006, we have devoted substantially all of our resources to developing ARCUS, conducting research and development activities, recruiting skilled personnel, developing manufacturing processes, establishing our intellectual property portfolio and providing general and administrative support for these operations. We have financed our operations primarily through proceeds from upfront and milestone payments from collaboration and licensing agreements, our initial public offering (“IPO”), private placements of our common stock, convertible preferred stock and convertible debt financings, underwritten and at-the-market offerings of common stock, and borrowings on credit facilities.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and have not generated any revenue from the sale of products. Our ability to generate any product revenue or product revenue sufficient to achieve profitability will depend on the successful development and eventual commercialization of one or more of our product candidates or the product candidates of our collaborators for which we may receive milestone payments or royalties. As of June 30, 2022, we had an accumulated deficit of $375.9 million.</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Currently, operating expenses are decreasing as a result of our financial discipline, including evaluation of our priority programs. As our programs continue to advance, we expect our operating expenses will increase year-over-year in connection with our ongoing and planned clinical trials, anticipated IND and CTA filings, and potential BLA filings, and the expected expansion of our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product development programs and capabilities. We will not generate revenue from product sales unless and until we successfully complete clinical development and obtain regulatory approval for one of our product candidates or the product candidates of our collaborators for which we may receive milestone payments or royalties. If we obtain regulatory approval for any of our product candidates, we expect to incur significant expenses related to developing our commercialization capability to support product sales, marketing and distribution. In addition, we expect to continue to incur additional costs associated with operating as a public company.</w:t>
      </w:r>
    </w:p>
    <w:p>
      <w:pPr>
        <w:spacing w:after="0" w:line="18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As a result of these anticipated expenditures, we will need additional financing to support our continuing operations. Until such time as we can generate significant revenue from product sales, if ever, we expect to finance our cash needs through a combination of public equity, debt financings or other sources, which may include current and new collaborations with third parties. Adequate additional financing may not be available to us on acceptable terms, or at all. Our inability to raise capital as and when needed would have a negative impact on our financial condition and our ability to pursue our business strategy. We cannot assure you that we will ever generate significant revenue to achieve profitability.</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development of therapeutic products,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required to raise additional capital on terms that are unfavorable to us or we may be unable to continue our operations at planned levels and be forced to reduce or terminate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COVID-19 Pandemic</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are closely monitoring how the ongoing COVID-19 pandemic and variants thereof continue to affect our employees, business, preclinical studies and clinical trials. We have taken steps in line with guidance from the U.S. Centers for Disease Control and Prevention (“CDC”) and the State of North Carolina to protect the health and safety of our employees and the community. We have implemented measures to mitigate exposure risks and support operations. We initiated a health and safety program addressing use of face masks, mandatory vaccinations, social distancing, sanitary handwashing practices, use of personal protective equipment stations, stringent cleaning and sanitization of all facilities and measures to reduce total occupancy in facilities. We have also implemented temperature and symptom screening procedures at each location.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25" w:name="page26"/>
    <w:bookmarkEnd w:id="25"/>
    <w:p>
      <w:pPr>
        <w:spacing w:after="0" w:line="253" w:lineRule="auto"/>
        <w:rPr>
          <w:sz w:val="20"/>
          <w:szCs w:val="20"/>
          <w:color w:val="auto"/>
        </w:rPr>
      </w:pPr>
      <w:r>
        <w:rPr>
          <w:rFonts w:ascii="Times New Roman" w:cs="Times New Roman" w:eastAsia="Times New Roman" w:hAnsi="Times New Roman"/>
          <w:sz w:val="18"/>
          <w:szCs w:val="18"/>
          <w:color w:val="auto"/>
        </w:rPr>
        <w:t>We are working closely with our clinical sites, physician partners and the patient community to monitor and manage the impact of the COVID-19 pandemic and variants thereof. We remain committed to our clinical programs and development plans, however, disruptions, competing resource demands and safety concerns caused by the COVID-19 pandemic and variants thereof have caused, and are likely to continue to cause, delays in our clinical trial site activation and impact our ability to enroll patients. We may also experience other difficulties, disruptions or delays in conducting preclinical studies or initiating, enrolling, conducting or completing our planned and ongoing clinical trials, and we may incur other unforeseen costs as a result. We expect that the COVID-19 pandemic and variants thereof will continue to impact our business, including our preclinical studies and clinical trials. The impact of the COVID-19 pandemic and variants thereof on our preclinical studies and any further impact to our clinical trials will largely depend on future developments, which are highly uncertain and cannot be predicted with confidence. Future economic impacts associated with the COVID-19 pandemic and variants thereof such as sustained inflation, supply chain disruptions and major central bank policy actions may have a negative impact on our preclinical studies and clinical trials.</w:t>
      </w:r>
    </w:p>
    <w:p>
      <w:pPr>
        <w:spacing w:after="0" w:line="1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CARES Act was signed into law on March 27, 2020, which provides for, among other things, the deferral of the deposit and payment of certain taxes. Pursuant to the CARES Act, we have continued to elect to defer payment of a portion of the employer’s share of social security taxes since May 1, 2020. See “</w:t>
      </w:r>
      <w:r>
        <w:rPr>
          <w:rFonts w:ascii="Times New Roman" w:cs="Times New Roman" w:eastAsia="Times New Roman" w:hAnsi="Times New Roman"/>
          <w:sz w:val="18"/>
          <w:szCs w:val="18"/>
          <w:i w:val="1"/>
          <w:iCs w:val="1"/>
          <w:color w:val="auto"/>
        </w:rPr>
        <w:t>Risk Factors— The ongoing novel coronavirus disease, COVID-19 has impacted, and may continue to impact, our business, and any other pandemic,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epidemic or outbreak of an infectious disease may materially and adversely impact our business, including our preclinical studies and clinical trials</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II. Item 1A. of this Quarterly Report on Form 10-Q.</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Novartis Pharma AG</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On June 14, 2022, we entered into the Novartis Agreement, which became effective on June 15, 2022 (the “Novartis Effective Date”), to collaborate to discover and develop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products incorporating our custom ARCUS nucleases for the purpose of seeking to research and develop potential treatments for certain diseases (as defined in the Novartis Agreement, the “Licensed Products”). Any initial Licensed Products will be developed for the potential treatment of certain hemoglobinopathies, including sickle cell disease and beta thalassemia.</w:t>
      </w:r>
    </w:p>
    <w:p>
      <w:pPr>
        <w:spacing w:after="0" w:line="18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Pursuant to the terms of the Novartis Agreement, we will develop an ARCUS nuclease and conduct in vitro characterization for the Licensed Products, with Novartis then assuming responsibility for all subsequent development, manufacturing and commercialization activities. Novartis will receive an exclusive license for, and be required to use commercially reasonable efforts to conduct all subsequent research, development, manufacture and commercialization activities with respect to the Licensed Products. We will initially develop a single, custom ARCUS nuclease for a defined “safe harbor” target site for insertion of specified therapeutic payloads in the patient’s genome (the “Initial Nuclease”) for Novartis to further develop as a potential in vivo treatment option for certain hemoglobinopathies, including sickle cell disease and beta thalassemia. Pursuant to the terms of the Novartis Agreement, Novartis may elect, subject to payment of a fee to us, to replace Licensed Products based on the Initial Nuclease with Licensed Products based on a second custom ARCUS nuclease we design for gene editing of a specified human gene target associated with hemoglobinopathies (the “Replacement Nuclease”). Additionally, Novartis has the option, upon payment of a fee to us for each exercise of the option, to include Licensed Products utilizing the Initial Nuclease for insertion of up to three additional specified therapeutic payloads at the “safe harbor” target site, each intended to treat a particular genetic disease. The exercise period for such option ends on the earlier of (a) the fourth anniversary of the Novartis Effective Date and (b) the replacement of the Initial Nuclease with the Replacement Nuclease as described above.</w:t>
      </w:r>
    </w:p>
    <w:p>
      <w:pPr>
        <w:spacing w:after="0" w:line="19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Upon execution of the Novartis Agreement, we invoiced Novartis $50.0 million for the upfront cash payment, which was received after quarter end. Additionally, on the Novartis Effective Date, Novartis made an equity investment of $25.0 million in our common stock pursuant to a stock purchase agreement (the “Novartis Stock Purchase Agreement”) pursuant to which, on the Novartis Effective Date, we issued and sold to Novartis 12,407,440 shares of our common stock (the “Novartis Shares”) in a private placement transaction for an aggregate purchase price of $25.0 million, or approximately $2.01 per share. The price per share of our common stock under the Novartis Stock Purchase Agreement represented a 20% premium over the volume-weighted-average-price of our common stock over the 10 trading days preceding the execution date of the Novartis Stock Purchase Agreement.</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Pursuant to the Novartis Stock Purchase Agreement, subject to certain exceptions, Novartis may not sell the Novartis Shares without our approval for a period of two years following the Novartis Effective Date. In addition, for a period of two years following the Novartis Effective Date, Novartis and its affiliates may not (a) effect or otherwise participate in, directly or indirectly, any acquisition of any of our securities or material assets, any tender offer or exchange offer, merger or other business combination or change of control involving us, any recapitalization, restructuring, liquidation, dissolution or other extraordinary transaction with respect to us, or any solicitation of proxies or consents to vote any of our securities or (b) act with any other person, or publicly disclose any intention, to do any of the foregoing. The Novartis Stock Purchase Agreement also contains customary representations, warranties, and covenants of both parties.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6" w:name="page27"/>
    <w:bookmarkEnd w:id="26"/>
    <w:p>
      <w:pPr>
        <w:ind w:right="80"/>
        <w:spacing w:after="0" w:line="258" w:lineRule="auto"/>
        <w:rPr>
          <w:sz w:val="20"/>
          <w:szCs w:val="20"/>
          <w:color w:val="auto"/>
        </w:rPr>
      </w:pPr>
      <w:r>
        <w:rPr>
          <w:rFonts w:ascii="Times New Roman" w:cs="Times New Roman" w:eastAsia="Times New Roman" w:hAnsi="Times New Roman"/>
          <w:sz w:val="18"/>
          <w:szCs w:val="18"/>
          <w:color w:val="auto"/>
        </w:rPr>
        <w:t>On the Novartis Effective Date, we and Novartis also entered into a registration rights agreement (the “Registration Rights Agreement”) pursuant to which we have agreed, within the time periods specified in the Registration Rights Agreement, to register the resale of the Novartis Shares on a registration statement to be filed with the SEC. The Registration Rights Agreement contains customary indemnification provisions, and all registration rights terminate in their entirety effective on the first date on which there cease to be any Registrable Securities (as defined in the Registration Rights Agreement) outstanding.</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will also be eligible to receive milestone payments of up to an aggregate of approximately $1.4 billion as well as certain research funding. If Licensed Products resulting from the collaboration are approved and sold, we will also be entitled to receive tiered royalties ranging from the mid-single digit to low-double digit percentages on net sales of Licensed Products, subject to customary potential reductions. Novartis’s obligation to pay royalties to us expires on a country-by-country and Licensed Product-by-Licensed Product basis, upon the latest to occur of certain events related to expiration of patents, regulatory exclusivity or a period of ten years following the first commercial sale of the Licensed Product.</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Unless earlier terminated, the Novartis Agreement will remain in effect on a Licensed Product-by-Licensed Product and country-by-country basis until the expiration of a defined royalty term for each Licensed Product and country. Novartis has the right to terminate the Novartis Agreement without cause by providing advance notice to us. Either party may terminate the Novartis Agreement for material breach by the other party and a failure to cure such breach within the time period specified in the Novartis Agreement. We may also terminate the Novartis Agreement in the event that Novartis brings a challenge to our patents.</w:t>
      </w:r>
    </w:p>
    <w:p>
      <w:pPr>
        <w:spacing w:after="0" w:line="18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2022, we did not recognize any revenue under the Novartis Agreement. Deferred revenue related to the Novartis Agreement amounted to $63.4 million as of June 30, 2022, of which $22.6 million, was included in current liabilities within the condensed consolidated balance sheets.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 Lilly and Company</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January 2021, we closed a development and license agreement, subsequently amended by the First Amendment to the Development and License Agreement dated August 9, 2021 (as amended, the “Lilly Agreement”) with Lilly to utilize ARCUS for the research and development of potential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therapies for genetic disorders. Lilly has initially nominated Duchenne muscular dystrophy (“DMD”), a liver-directed target and a central nervous system directed target, and has the right to nominate up to three additional gene targets for genetic disorders over the initial nomination period of four years. Lilly may extend the Nomination Period for an additional two years from the date on which such initial nomination period ends, upon Lilly’s election and payment of an extension fee. Under the terms of the Lilly Agreement, Lilly will receive an exclusive license to research, develop, manufacture and commercialize the resulting licensed products to diagnose, prevent and treat any and all diseases by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directed against the applicable gene target. The Development and License Agreement provides that we will be responsible for conducting certain pre-clinical research and IND-enabling activities with respect to the gene targets nominated by Lilly to be subject to the collaboration, including manufacture of initial clinical trial material for the first licensed product. Lilly will be responsible for, and must use commercially reasonable efforts with respect to, conducting clinical development and commercialization activities for licensed products resulting from the collaboration, and may engage us for additional clinical and/or initial commercial manufacture of licensed products.</w:t>
      </w:r>
    </w:p>
    <w:p>
      <w:pPr>
        <w:spacing w:after="0" w:line="19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connection with the closing, we received an upfront cash payment of $100.0 million as well as $35.0 million from Lilly’s purchase of 3,762,190 newly issued shares of our common stock pursuant to a stock purchase agreement (the “Lilly Share Purchase Agreement”). We will also be eligible to receive milestone payments of up to an aggregate of $420.0 million per licensed product as well as nomination fees for additional targets and certain research funding. If licensed products resulting from the collaboration are approved and sold, we will also be entitled to receive tiered royalties ranging from the mid-single digit percentages to the low-teens percentages on world-wide net sales of the licensed products, subject to customary potential reductions. Lilly’s obligation to pay royalties to us expires on a country-by-country and licensed product-by-licensed product basis, upon the latest to occur of certain events related to expiration of patents, regulatory exclusivity or a period of ten years following first commercial sale of the licensed product.</w:t>
      </w:r>
    </w:p>
    <w:p>
      <w:pPr>
        <w:spacing w:after="0" w:line="189"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 xml:space="preserve">We have the right to elect to co-fund the clinical development of one licensed product, which may be selected from among the third or any subsequent licensed products to reach IND or CTA filing. If we elect to co-fund such licensed product, we would reimburse Lilly for a portion of the clinical development expenses for such product and, in exchange, each royalty tier with respect to net sales of such licensed product would be increased by a low single digit percentage. During the term of the Lilly Agreement, we may not (and may not license or collaborate with any third party to) research, develop, or commercialize any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gene editing product directed against any gene targets that have been nominated and are subject to the Lilly Agreement.</w:t>
      </w:r>
    </w:p>
    <w:p>
      <w:pPr>
        <w:spacing w:after="0" w:line="16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Unless earlier terminated, the Lilly Agreement will remain in effect on a licensed product-by-licensed product and country-by-country basis until the expiration of a defined royalty term for each licensed product and country. Lilly has the right to terminate the Lilly Agreement for convenience by providing advance notice to us. Either party may terminate the Lilly Agreement (i) for material breach by the other party and a failure to cure such breach within the time period specified in the agreement or (ii) due to a challenge to its patents brought by the other party.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7" w:name="page28"/>
    <w:bookmarkEnd w:id="27"/>
    <w:p>
      <w:pPr>
        <w:ind w:right="140"/>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2022 and 2021, the Company recognized revenue under the Lilly Agreement of $3.8 million and $5.3 million, respectively. During the six months ended June 30, 2022 and June 30, 2021, we recognized revenue under the Lilly Agreement of approximately $7.1 million and $10.7 million, respectively. Deferred revenue related to the Lilly Agreement amounted to $82.1 million and $88.3 million as of June 30, 2022 and December 31, 2021, of which $18.9 million and $21.2 million, respectively, was included in current liabilities within the condensed consolidated balance sheets.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iECURE</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August 2021, we entered into the iECURE Agreement under which iECURE plans to advance our PBGENE-PCSK9 candidate through Phase 1 studies and gain access to our PCSK9-directed ARCUS nuclease to develop four other pre-specified rare gene editing therapies for genetic diseases.</w:t>
      </w:r>
    </w:p>
    <w:p>
      <w:pPr>
        <w:spacing w:after="0" w:line="16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Pursuant to the iECURE Agreement, we retain the rights to PBGENE-PCSK9, including all products developed for genetic indications with increased risk of severe cardiovascular events such as FH. In return, we granted iECURE a license to use its PCSK9-directed ARCUS nuclease to insert genes into the PCSK9 locus to develop treatments for four other pre-specified rare genetic diseases, including OTC deficiency, CTLN1, PKU, and another program focused on liver disease. Simultaneously with the entry into the iECURE Agreement, we entered into an Equity Issuance Agreement with iECURE, pursuant to which iECURE granted us partial equity ownership in iECURE as partial consideration for the license to use our PCSK9-directed ARCUS nuclease. Additionally, we are eligible to receive milestone and mid-single digit to low double digit royalty payments on sales of iECURE products developed with ARCUS.</w:t>
      </w:r>
    </w:p>
    <w:p>
      <w:pPr>
        <w:spacing w:after="0" w:line="18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 xml:space="preserve">As further discussed in Note 9, </w:t>
      </w:r>
      <w:r>
        <w:rPr>
          <w:rFonts w:ascii="Times New Roman" w:cs="Times New Roman" w:eastAsia="Times New Roman" w:hAnsi="Times New Roman"/>
          <w:sz w:val="18"/>
          <w:szCs w:val="18"/>
          <w:i w:val="1"/>
          <w:iCs w:val="1"/>
          <w:color w:val="auto"/>
        </w:rPr>
        <w:t>Collaboration and License Agreements</w:t>
      </w:r>
      <w:r>
        <w:rPr>
          <w:rFonts w:ascii="Times New Roman" w:cs="Times New Roman" w:eastAsia="Times New Roman" w:hAnsi="Times New Roman"/>
          <w:sz w:val="18"/>
          <w:szCs w:val="18"/>
          <w:color w:val="auto"/>
        </w:rPr>
        <w:t>, the fair value of the costs to be incurred by iECURE to progress our PBGENE-PCSK9 candidate through a Phase 1 clinical trial of $17.4 million was recorded to the prepaid expenses and other assets line items of the condensed consolidated balance sheets. The PCSK9 Prepaid will be amortized to research and development expense on a pro-rata basis as iECURE incurs costs to progress the PBGENE-PCSK9 candidate through Phase 1 studies.</w:t>
      </w:r>
    </w:p>
    <w:p>
      <w:pPr>
        <w:spacing w:after="0" w:line="18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2022, we recognized $1.7 million of research and development expense related to amortization of the PCSK9 prepaid. As of June 30, 2022, the remaining balance of the PCSK9 prepaid was $11.2 million, which is included in the prepaid expenses and other assets line items of the condensed consolidated balance sheets in the amounts of $4.2 million and $7.0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Servier</w:t>
      </w:r>
    </w:p>
    <w:p>
      <w:pPr>
        <w:spacing w:after="0" w:line="22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February 2016, we entered into the Servier Agreement with Servier, pursuant to which we agreed to develop allogeneic CAR T cell therapies for five unique antigen targets. One target was selected at the Servier Agreement’s inception. Two additional hematological cancer targets beyond CD19 and two new solid tumor targets were selected in 2020. With the addition of these new targets, we received development milestone payments in 2020. Upon selection of an antigen target under the Servier Agreement, we agreed to perform early-stage research and development on individual T cell modifications for the selected target, develop the resulting therapeutic product candidates through Phase 1 clinical trials and prepare initial clinical trial material of such product candidates for use in Phase 2 clinical trials.</w:t>
      </w:r>
    </w:p>
    <w:p>
      <w:pPr>
        <w:spacing w:after="0" w:line="18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April 9, 2021, we entered into the Program Purchase Agreement with Servier, pursuant to which we reacquired all of our global development and commercialization rights previously granted to Servier pursuant to the Servier Agreement, and mutually terminated the Servier Agreement.</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Pursuant to the Servier Agreement, we had developed certain allogeneic CAR T candidates, including PBCAR0191 and the stealth cell PBCAR19B, each targeting CD19, as well as four additional product targets under the Servier Agreement. Pursuant to the terms of the Program Purchase Agreement, we regained full global rights to research, develop, manufacture and commercialize products resulting from such programs, with sole control over all activities. Additionally, per the terms of the Program Purchase Agreement we do not have an obligation to continue development of the Servier Targets. With respect to products directed to CD19, Servier has certain rights of negotiation, which may be exercised during a specified time period if we elect to initiate a process or entertain third party offers for partnering such products.</w:t>
      </w:r>
    </w:p>
    <w:p>
      <w:pPr>
        <w:spacing w:after="0" w:line="1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the terms of the Program Purchase Agreement, we made a payment of $1.25 million in cash to Servier and agreed to waive earned milestones totaling $18.75 million that would have been otherwise payable to us.</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Program Purchase Agreement also requires us to make certain payments to Servier based on the achievement of regulatory and commercial milestones for each product, and a low- to mid-single-digit percentage royalty (subject to certain reductions) based on net sales of approved products, if any, resulting from our continued development and commercialization of the programs, for a period not to exceed ten years after first commercial sale of the applicable product in the United States or certain countries in Europe. If we enter into specified product partnering transactions, the Program Purchase Agreement requires us to pay to Servier a portion of certain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28" w:name="page29"/>
    <w:bookmarkEnd w:id="28"/>
    <w:p>
      <w:pPr>
        <w:spacing w:after="0" w:line="266" w:lineRule="auto"/>
        <w:rPr>
          <w:sz w:val="20"/>
          <w:szCs w:val="20"/>
          <w:color w:val="auto"/>
        </w:rPr>
      </w:pPr>
      <w:r>
        <w:rPr>
          <w:rFonts w:ascii="Times New Roman" w:cs="Times New Roman" w:eastAsia="Times New Roman" w:hAnsi="Times New Roman"/>
          <w:sz w:val="18"/>
          <w:szCs w:val="18"/>
          <w:color w:val="auto"/>
        </w:rPr>
        <w:t>consideration received pursuant to such product partnering transactions in lieu of the foregoing milestones (with the exception of a one-time clinical phase development milestone) and royalties. For additional discussion of accounting for payment obligations arising from the Program Purchase Agreement, refer to Note 4 of the condensed consolidated financial statements, “Commitments and Contingencies.”</w:t>
      </w:r>
    </w:p>
    <w:p>
      <w:pPr>
        <w:spacing w:after="0" w:line="189"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8"/>
          <w:szCs w:val="18"/>
          <w:color w:val="auto"/>
        </w:rPr>
        <w:t>We recognized no revenue under the agreement with Servier during the six months ended June 30, 2022. During the six months ended June 30, 2021, we recognized revenue under the agreement with Servier of approximately $72.9 million. We did not have deferred revenue related to the agreement with Servier as of June 30, 2022 or December 31, 2021.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Tiziana</w:t>
      </w:r>
    </w:p>
    <w:p>
      <w:pPr>
        <w:spacing w:after="0" w:line="22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September 2021, we entered into an exclusive license agreement to evaluate Tiziana’s foralumab, a fully human anti-CD3 monoclonal antibody, as a lymphodepleting agent in conjunction with our allogeneic CAR T cells for the potential treatment of cancers. We will investigate foralumab first in combination with an anti-CD19 CAR 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SpringWorks Therapeutics</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September 2020, we entered into a Clinical Trial Collaboration Agreement with SpringWorks. Pursuant to such agreement, PBCAR269A will be evaluated in combination with nirogacestat, SpringWorks’ investigational gamma secretase inhibitor, in patients with R/R multiple myeloma. Under the terms of the agreement, we will bear all costs associated with the conduct of the clinical trial including providing PBCAR269A for use in the trial, and SpringWorks is responsible for providing nirogacestat at its sole cost and expense. We have completed DL2 (2.0 × 10</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 xml:space="preserve"> cells/kg) of PBCAR269A plus GSI and are initiating the next cohort at DL3 to further evaluate efficacy.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Trustees of the University of Pennsylvania</w:t>
      </w:r>
    </w:p>
    <w:p>
      <w:pPr>
        <w:spacing w:after="0" w:line="22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In January 2018, we entered into a research, collaboration and license agreement with the Trustees of the University of Pennsylvania (“Penn”) to collaborate on the preclinical development for gene editing products involving the delivery of an ARCUS nuclease. In April 2020, both parties agreed to coordinate a wind-down of all activities in their entirety under the agreement, effective as of June 2020, however, in August 2020 and subsequently in January 2021, both parties agreed to extend certain portions of the agreement through 2022. We will not be required to make termination payments to Penn.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product sales in the foreseeable future. We record revenue from collaboration agreements, including amounts related to upfront payments, milestone payments, annual fees for licenses of our intellectual property and research and development funding.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discovery efforts and the development of our product candidates. These include the following:</w:t>
      </w:r>
    </w:p>
    <w:p>
      <w:pPr>
        <w:spacing w:after="0" w:line="54" w:lineRule="exact"/>
        <w:rPr>
          <w:sz w:val="20"/>
          <w:szCs w:val="20"/>
          <w:color w:val="auto"/>
        </w:rPr>
      </w:pPr>
    </w:p>
    <w:p>
      <w:pPr>
        <w:ind w:left="840" w:right="400" w:hanging="414"/>
        <w:spacing w:after="0" w:line="282"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related costs, including share-based compensation expense, for personnel engaged in research and development functions;</w:t>
      </w:r>
    </w:p>
    <w:p>
      <w:pPr>
        <w:spacing w:after="0" w:line="161" w:lineRule="exact"/>
        <w:rPr>
          <w:rFonts w:ascii="Times New Roman" w:cs="Times New Roman" w:eastAsia="Times New Roman" w:hAnsi="Times New Roman"/>
          <w:sz w:val="18"/>
          <w:szCs w:val="18"/>
          <w:color w:val="auto"/>
        </w:rPr>
      </w:pPr>
    </w:p>
    <w:p>
      <w:pPr>
        <w:ind w:left="840" w:right="140" w:hanging="414"/>
        <w:spacing w:after="0" w:line="282"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contract research organizations (“CROs”) and other third parties that conduct preclinical research and development activities and clinical trials on our behalf;</w:t>
      </w:r>
    </w:p>
    <w:p>
      <w:pPr>
        <w:spacing w:after="0" w:line="161" w:lineRule="exact"/>
        <w:rPr>
          <w:rFonts w:ascii="Times New Roman" w:cs="Times New Roman" w:eastAsia="Times New Roman" w:hAnsi="Times New Roman"/>
          <w:sz w:val="18"/>
          <w:szCs w:val="18"/>
          <w:color w:val="auto"/>
        </w:rPr>
      </w:pPr>
    </w:p>
    <w:p>
      <w:pPr>
        <w:ind w:left="840" w:right="140" w:hanging="414"/>
        <w:spacing w:after="0" w:line="261"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developing and scaling our manufacturing process and manufacturing drug products for use in our preclinical studies and ongoing and future clinical trials, including the costs of contract manufacturing organizations (“CMOs”), and our Manufacturing Center for Advanced Therapeutics (“MCAT”) facility that will manufacture our clinical trial material for use in our preclinical studies and ongoing and potential future clinical trials;</w:t>
      </w:r>
    </w:p>
    <w:p>
      <w:pPr>
        <w:spacing w:after="0" w:line="179"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including their fees and related travel expenses;</w:t>
      </w:r>
    </w:p>
    <w:p>
      <w:pPr>
        <w:spacing w:after="0" w:line="238"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laboratory supplies and acquiring, developing and manufacturing preclinical study and clinical trial materials;</w:t>
      </w:r>
    </w:p>
    <w:p>
      <w:pPr>
        <w:spacing w:after="0" w:line="238"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payments made for intellectual property used in research and development activities; and</w:t>
      </w:r>
    </w:p>
    <w:p>
      <w:pPr>
        <w:spacing w:after="0" w:line="238" w:lineRule="exact"/>
        <w:rPr>
          <w:rFonts w:ascii="Times New Roman" w:cs="Times New Roman" w:eastAsia="Times New Roman" w:hAnsi="Times New Roman"/>
          <w:sz w:val="18"/>
          <w:szCs w:val="18"/>
          <w:color w:val="auto"/>
        </w:rPr>
      </w:pPr>
    </w:p>
    <w:p>
      <w:pPr>
        <w:ind w:left="840" w:right="40" w:hanging="414"/>
        <w:spacing w:after="0" w:line="282"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facility-related expenses, which include direct depreciation costs and expenses for rent and maintenance of facilities and other operating costs if specifically identifiable to research activities.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9" w:name="page30"/>
    <w:bookmarkEnd w:id="29"/>
    <w:p>
      <w:pPr>
        <w:ind w:right="40"/>
        <w:spacing w:after="0" w:line="258" w:lineRule="auto"/>
        <w:rPr>
          <w:sz w:val="20"/>
          <w:szCs w:val="20"/>
          <w:color w:val="auto"/>
        </w:rPr>
      </w:pPr>
      <w:r>
        <w:rPr>
          <w:rFonts w:ascii="Times New Roman" w:cs="Times New Roman" w:eastAsia="Times New Roman" w:hAnsi="Times New Roman"/>
          <w:sz w:val="18"/>
          <w:szCs w:val="18"/>
          <w:color w:val="auto"/>
        </w:rPr>
        <w:t>We expense research and development costs as incurred. We track external research and development costs, including the costs of laboratory supplies and services, outsourced research and development, clinical trials, contract manufacturing, laboratory equipment and maintenance and certain other development costs, by product candidate when the program IND application is accepted by the FDA. Internal and external costs associated with infrastructure resources, other research and development costs, facility related costs and depreciation and amortization that are not identifiable to a specific product candidate are included in the platform development and early-stage research expenses category.</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Research and development activities are central to our business model. Currently, research and development expenses are decreasing as a result of our financial discipline, including our decision to discontinue development of PBCAR20A to allow prioritization of our other clinical programs, decreased external clinical trial material costs and discontinued investment in the development of food and agricultural product candidates following the separation of Elo in 2021. However, we ultimately expect that our research and development expenses will increase in the foreseeable future and will comprise a larger percentage of our total expenses as we continue to progress our clinical trials for our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allogeneic CAR T immunotherapies, particularly if we pursue pivotal clinical trials, and conduct preclinical research and IND/CTA enabling activities for our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pipeline of therapies for genetic and infectious diseases.</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cannot determine with certainty the duration and costs of ongoing and future clinical trials of our CD19, CD19B, and BCMA product candidates, or any other product candidate we may develop or if, when or to what extent we will generate revenue from the commercialization and sale of any product candidate for which we obtain marketing approval. We may never succeed in obtaining marketing approval for any product candidate. The duration, costs and timing of clinical trials and development of our CD19, CD19B, and BCMA product candidates, and any other our product candidate we may develop will depend on a variety of factors, including:</w:t>
      </w:r>
    </w:p>
    <w:p>
      <w:pPr>
        <w:spacing w:after="0" w:line="75" w:lineRule="exact"/>
        <w:rPr>
          <w:sz w:val="20"/>
          <w:szCs w:val="20"/>
          <w:color w:val="auto"/>
        </w:rPr>
      </w:pPr>
    </w:p>
    <w:p>
      <w:pPr>
        <w:ind w:left="740" w:right="280" w:hanging="368"/>
        <w:spacing w:after="0" w:line="282"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expense and results of clinical trials of our CD19, CD19B and BCMA product candidates, as well as of any future clinical trials of other product candidates and other research and development activities that we may conduct;</w:t>
      </w:r>
    </w:p>
    <w:p>
      <w:pPr>
        <w:spacing w:after="0" w:line="53" w:lineRule="exact"/>
        <w:rPr>
          <w:rFonts w:ascii="Times New Roman" w:cs="Times New Roman" w:eastAsia="Times New Roman" w:hAnsi="Times New Roman"/>
          <w:sz w:val="18"/>
          <w:szCs w:val="18"/>
          <w:color w:val="auto"/>
        </w:rPr>
      </w:pPr>
    </w:p>
    <w:p>
      <w:pPr>
        <w:ind w:left="740" w:right="500" w:hanging="368"/>
        <w:spacing w:after="0" w:line="282"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additional clinical sites to address slowed enrollment or site initiation due to the impact of the COVID-19 pandemic and variants thereof or any similar pandemic;</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clinical trial design and patient enrollment rates;</w:t>
      </w:r>
    </w:p>
    <w:p>
      <w:pPr>
        <w:spacing w:after="0" w:line="130" w:lineRule="exact"/>
        <w:rPr>
          <w:rFonts w:ascii="Times New Roman" w:cs="Times New Roman" w:eastAsia="Times New Roman" w:hAnsi="Times New Roman"/>
          <w:sz w:val="18"/>
          <w:szCs w:val="18"/>
          <w:color w:val="auto"/>
        </w:rPr>
      </w:pPr>
    </w:p>
    <w:p>
      <w:pPr>
        <w:ind w:left="740" w:right="220" w:hanging="368"/>
        <w:spacing w:after="0" w:line="282"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probability of success for our product candidates, including their safety and efficacy, early clinical data, competition, manufacturing capability and commercial viability;</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130"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marketing approvals; and</w:t>
      </w:r>
    </w:p>
    <w:p>
      <w:pPr>
        <w:spacing w:after="0" w:line="130"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of filing, prosecuting, defending and enforcing any patent claims and other intellectual property rights</w:t>
      </w:r>
    </w:p>
    <w:p>
      <w:pPr>
        <w:spacing w:after="0" w:line="23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slower than expected patient enrollment or other reasons, we would be required to expend significant additional financial resources and time on the completion of clinical development.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consulting fees, recruitment-related costs and other employee-related costs, including share-based compensation, for personnel in our executive, finance, business development, operations and administrative functions. General and administrative expenses also include legal fees relating to intellectual property and corporate matters; information technology costs; professional fees for accounting, auditing, tax and consulting services; insurance costs; travel expenses; and facility-related expenses, which include direct depreciation costs and expenses for rent and maintenance of facilities and other operating costs that are not specifically attributable to research activities.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our general and administrative expenses will increase in the future to meet our growing infrastructure needs.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Equity Method Investment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equity method investment represents our proportionate share of the net loss of New Elo, our equity method investee.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of interest payments and debt discount amortization on debt outstanding.</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6"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consists of interest income earned on our cash and cash equivalents and Note Receivable.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June 30, 2022 and June 30, 2021</w:t>
      </w:r>
    </w:p>
    <w:p>
      <w:pPr>
        <w:spacing w:after="0" w:line="22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2022 and June 30, 2021, together with the changes in those items: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5060" w:type="dxa"/>
            <w:vAlign w:val="bottom"/>
            <w:vMerge w:val="continue"/>
          </w:tcPr>
          <w:p>
            <w:pPr>
              <w:spacing w:after="0"/>
              <w:rPr>
                <w:sz w:val="13"/>
                <w:szCs w:val="13"/>
                <w:color w:val="auto"/>
              </w:rPr>
            </w:pPr>
          </w:p>
        </w:tc>
        <w:tc>
          <w:tcPr>
            <w:tcW w:w="2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3,820</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68,805</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(64,985)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37,235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(14,299)</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10,485</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9,938</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33,421</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47,173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2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2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(1,448)</w:t>
            </w:r>
          </w:p>
        </w:tc>
        <w:tc>
          <w:tcPr>
            <w:tcW w:w="2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2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(178)</w:t>
            </w: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9"/>
        </w:trPr>
        <w:tc>
          <w:tcPr>
            <w:tcW w:w="50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2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(31,035)</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Revenue for the three months ended June 30, 2022 was $3.8 million, compared to $68.8 million for the three months ended June 30, 2021. The decrease of $65.0 million in revenue during the three months ended June 30, 2022 was primarily the result of the absence of $62.5 million in revenue recognized under the Servier Agreement as there has not been any related revenue recognized thereunder subsequent to full satisfaction of the performance obligation upon the execution of the Program Purchase Agreement in April 2021, a $1.5 million decrease in revenue recognized under the Lilly Agreement as a result of an increase in total estimated effort required to satisfy the performance obligation, and a $0.9 million decrease in revenue recognized from an agriculture partnering collaboration given the collaboration transferred to New Elo upon separation in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5300" w:type="dxa"/>
            <w:vAlign w:val="bottom"/>
            <w:vMerge w:val="continue"/>
          </w:tcPr>
          <w:p>
            <w:pPr>
              <w:spacing w:after="0"/>
              <w:rPr>
                <w:sz w:val="13"/>
                <w:szCs w:val="13"/>
                <w:color w:val="auto"/>
              </w:rPr>
            </w:pPr>
          </w:p>
        </w:tc>
        <w:tc>
          <w:tcPr>
            <w:tcW w:w="2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3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product candidate:</w:t>
            </w:r>
          </w:p>
        </w:tc>
        <w:tc>
          <w:tcPr>
            <w:tcW w:w="20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CD19 external development costs</w:t>
            </w:r>
          </w:p>
        </w:tc>
        <w:tc>
          <w:tcPr>
            <w:tcW w:w="22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4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CD19B external development costs</w:t>
            </w:r>
          </w:p>
        </w:tc>
        <w:tc>
          <w:tcPr>
            <w:tcW w:w="2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BCMA external development costs</w:t>
            </w:r>
          </w:p>
        </w:tc>
        <w:tc>
          <w:tcPr>
            <w:tcW w:w="2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CD20 external development costs</w:t>
            </w:r>
          </w:p>
        </w:tc>
        <w:tc>
          <w:tcPr>
            <w:tcW w:w="2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(1,234)</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Platform development, early-stage research and unallocated expenses:</w:t>
            </w:r>
          </w:p>
        </w:tc>
        <w:tc>
          <w:tcPr>
            <w:tcW w:w="2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Employee-related costs</w:t>
            </w:r>
          </w:p>
        </w:tc>
        <w:tc>
          <w:tcPr>
            <w:tcW w:w="2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(1,293)</w:t>
            </w:r>
          </w:p>
        </w:tc>
        <w:tc>
          <w:tcPr>
            <w:tcW w:w="0" w:type="dxa"/>
            <w:vAlign w:val="bottom"/>
          </w:tcPr>
          <w:p>
            <w:pPr>
              <w:spacing w:after="0"/>
              <w:rPr>
                <w:sz w:val="1"/>
                <w:szCs w:val="1"/>
                <w:color w:val="auto"/>
              </w:rPr>
            </w:pPr>
          </w:p>
        </w:tc>
      </w:tr>
      <w:tr>
        <w:trPr>
          <w:trHeight w:val="229"/>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Program Purchase Agreement costs and contract liability</w:t>
            </w:r>
          </w:p>
        </w:tc>
        <w:tc>
          <w:tcPr>
            <w:tcW w:w="2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(11,250)</w:t>
            </w: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Sublicensing royalty payable to Duke</w:t>
            </w:r>
          </w:p>
        </w:tc>
        <w:tc>
          <w:tcPr>
            <w:tcW w:w="2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Laboratory supplies and services</w:t>
            </w:r>
          </w:p>
        </w:tc>
        <w:tc>
          <w:tcPr>
            <w:tcW w:w="2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Outsourced research and development</w:t>
            </w:r>
          </w:p>
        </w:tc>
        <w:tc>
          <w:tcPr>
            <w:tcW w:w="2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CMOs and research organizations</w:t>
            </w:r>
          </w:p>
        </w:tc>
        <w:tc>
          <w:tcPr>
            <w:tcW w:w="2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(1,703)</w:t>
            </w: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Laboratory equipment and maintenance</w:t>
            </w:r>
          </w:p>
        </w:tc>
        <w:tc>
          <w:tcPr>
            <w:tcW w:w="2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30"/>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Facility-related costs</w:t>
            </w:r>
          </w:p>
        </w:tc>
        <w:tc>
          <w:tcPr>
            <w:tcW w:w="2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29"/>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Licensing fees</w:t>
            </w:r>
          </w:p>
        </w:tc>
        <w:tc>
          <w:tcPr>
            <w:tcW w:w="2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PCSK9 Prepaid</w:t>
            </w:r>
          </w:p>
        </w:tc>
        <w:tc>
          <w:tcPr>
            <w:tcW w:w="2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research and development costs</w:t>
            </w:r>
          </w:p>
        </w:tc>
        <w:tc>
          <w:tcPr>
            <w:tcW w:w="2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37,235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80" w:type="dxa"/>
            <w:vAlign w:val="bottom"/>
            <w:vMerge w:val="restart"/>
          </w:tcPr>
          <w:p>
            <w:pPr>
              <w:jc w:val="right"/>
              <w:ind w:right="157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0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31" w:name="page32"/>
    <w:bookmarkEnd w:id="31"/>
    <w:p>
      <w:pPr>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June 30, 2022 were $22.9 million, compared to $37.2 million for the three months ended June 30, 2021. The decrease of $14.3 million in research and development expense was primarily due to a decrease of $11.3 million related to the Program Purchase Agreement, which is comprised of a $10.0 million financial contract liability that was accrued as it was deemed probable to occur and a $1.3 million cash payment to Servier that was recorded to expense in the three months ended June 30, 2021. Additionally, there was a decrease of $2.1 million in direct research and development expenses related to our allogeneic CAR T product candidates, including a $1.2 million decrease in CD20 external development costs as the result of our decision not to continue development of PBCAR20A.</w:t>
      </w:r>
    </w:p>
    <w:p>
      <w:pPr>
        <w:spacing w:after="0" w:line="16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Further contributing to the decrease in research and development expenses during the three months ended June 30, 2022 were decreases of $1.3 million and $0.4 million in employee-related costs and depreciation and amortization, respectively, driven by the separation of Elo in 2021. Additionally, unallocated CMO and research organization expense related to our preclinical studies decreased $1.7 million in the three months ended June 30, 2022 compared to the three months ended June 30, 2021, which was primarily driven by the completion of CMO manufacturing programs. These decreases were partially offset by a $1.5 million increase in expense related to the sublicensing royalty payable to Duke on the Novartis Agreement upfront payment, and a $0.9 million increase in expense related to amortization of the iECURE PCSK9 prepaid as a result of costs incurred by iECURE in the three months ended June 30, 2022 to progress the Company’s PBGENE-PCSK9 candidate through a Phase 1 clinical trial.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$10.5 million for the three months ended June 30, 2022 compared to $9.9 million for the three months ended June 30, 2021. The increase of $0.6 million in general and administrative expenses was primarily due to increases of $0.7 million in consulting fees and $0.4 million in employee-related costs associated with increased share-based compensation expense, partially offset by decreases of $0.3 million in information technology expense primarily driven by reductions in software and consulting expenses and $0.2 million in insurance expense primarily driven by a reduction in director and officer insurance premiums.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Equity Method Investment</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Loss from equity method investment was $1.4 million during the three months ended June 30, 2022 and represented our proportionate share of New Elo’s net loss for such period. We did not have any equity method investment during the three months ended June 30,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Interest expense was $0.2 million for the three months ended June 30, 2022 and consists of interest payments and debt discount amortization on debt outstanding during the three months ended June 30, 2022. Interest expense was less than $0.1 million three months ended June 30,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Interest income was $0.2 million during the three months ended June 30, 2022, which primarily consists of income earned on the $10.0 million Note Receivable due from New Elo. Interest income was less than $0.1 million during the three months ended June 30, 2021, which consisted of interest income earned on our cash and cash equivalents.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Comparison of the Six Months Ended June 30, 2022 and June 30, 2021</w:t>
      </w:r>
    </w:p>
    <w:p>
      <w:pPr>
        <w:spacing w:after="0" w:line="2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2022 and June 30, 2021, together with the changes in those items: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20" w:type="dxa"/>
            <w:vAlign w:val="bottom"/>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2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3"/>
        </w:trPr>
        <w:tc>
          <w:tcPr>
            <w:tcW w:w="5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85,154</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(78,017)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42,908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62,828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(19,920)</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21,176</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19,436</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64,084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82,264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2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from equity method investment</w:t>
            </w:r>
          </w:p>
        </w:tc>
        <w:tc>
          <w:tcPr>
            <w:tcW w:w="2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(2,400)</w:t>
            </w: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2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2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14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the six months ended June 30, 2022 was $7.1 million, compared to $85.2 million for the six months ended June 30, 2021. The decrease of</w:t>
      </w:r>
    </w:p>
    <w:p>
      <w:pPr>
        <w:spacing w:after="0" w:line="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$78.1 million in revenue during the six months ended June 30, 2022 was the result of the absence of $72.9 million in revenue recognized under the Servier Agreement as there has not been any related revenue recognized thereunder subsequent to full satisfaction of the performance obligation upon the execution of the Program Purchase Agreement in April 2021, a $3.6 million decrease in revenue recognized under the Lilly Agreement as a result of an increase in total estimated effort required to satisfy the performance obligation, and a $1.6 million decrease in revenue recognized from an agriculture partnering collaboration given the collaboration transferred to New Elo upon separation in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73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3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product candidate:</w:t>
            </w: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CD19 external development costs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4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(1,223)</w:t>
            </w: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CD19B external development costs</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30"/>
        </w:trPr>
        <w:tc>
          <w:tcPr>
            <w:tcW w:w="7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BCMA external development costs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CD20 external development costs</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2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Platform development, early-stage research and unallocated expenses: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Employee-related costs</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18,682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(2,662)</w:t>
            </w:r>
          </w:p>
        </w:tc>
        <w:tc>
          <w:tcPr>
            <w:tcW w:w="0" w:type="dxa"/>
            <w:vAlign w:val="bottom"/>
          </w:tcPr>
          <w:p>
            <w:pPr>
              <w:spacing w:after="0"/>
              <w:rPr>
                <w:sz w:val="1"/>
                <w:szCs w:val="1"/>
                <w:color w:val="auto"/>
              </w:rPr>
            </w:pPr>
          </w:p>
        </w:tc>
      </w:tr>
      <w:tr>
        <w:trPr>
          <w:trHeight w:val="230"/>
        </w:trPr>
        <w:tc>
          <w:tcPr>
            <w:tcW w:w="7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Program Purchase Agreement costs and contract liability</w:t>
            </w:r>
          </w:p>
        </w:tc>
        <w:tc>
          <w:tcPr>
            <w:tcW w:w="22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(11,250)</w:t>
            </w: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Sublicensing royalty payable to Duke</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Laboratory supplies and services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Outsourced research and development</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CMOs and research organizations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(1,918)</w:t>
            </w: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Laboratory equipment and maintenance</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29"/>
        </w:trPr>
        <w:tc>
          <w:tcPr>
            <w:tcW w:w="7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Facility-related costs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30"/>
        </w:trPr>
        <w:tc>
          <w:tcPr>
            <w:tcW w:w="7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Licensing fees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PCSK9 Prepaid</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research and development costs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23"/>
        </w:trPr>
        <w:tc>
          <w:tcPr>
            <w:tcW w:w="73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42,908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62,828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six months ended June 30, 2022 were $42.9 million, compared to $62.8 million for the six months ended June 30, 2021. The decrease of $19.9 million in research and development expense was primarily due to a decrease of $11.3 million related to the Program Purchase Agreement, which is comprised of a $10.0 million financial contract liability that was accrued as it was deemed probable to occur and a $1.3 million cash payment to Servier that was recorded to expense in the six months ended June 30, 2021.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8" w:right="339" w:bottom="1440" w:gutter="0" w:footer="0" w:header="0"/>
        </w:sectPr>
      </w:pPr>
    </w:p>
    <w:bookmarkStart w:id="33" w:name="page34"/>
    <w:bookmarkEnd w:id="33"/>
    <w:p>
      <w:pPr>
        <w:ind w:right="40"/>
        <w:spacing w:after="0" w:line="254" w:lineRule="auto"/>
        <w:rPr>
          <w:sz w:val="20"/>
          <w:szCs w:val="20"/>
          <w:color w:val="auto"/>
        </w:rPr>
      </w:pPr>
      <w:r>
        <w:rPr>
          <w:rFonts w:ascii="Times New Roman" w:cs="Times New Roman" w:eastAsia="Times New Roman" w:hAnsi="Times New Roman"/>
          <w:sz w:val="18"/>
          <w:szCs w:val="18"/>
          <w:color w:val="auto"/>
        </w:rPr>
        <w:t>Additionally, there was a decrease of $4.8 million in direct research and development expenses related to our allogeneic CAR T product candidates, including a $1.7 million decrease in CD20 external development costs as the result of our decision not to continue development of PBCAR20A, a $1.2 million decrease in CD19 external development expense driven by lower CRO expense driven by our prioritization of the CAR T relapsed patient population, a $1.0 million decrease in BCMA external development costs driven by lower CRO expenses as a result of the prioritization of the combination arm evaluating PBCAR269A and nirogacestat as well as decreased CMO expense as a result of completion of manufacturing programs, and a $0.9 million decrease in CD19B external development costs driven by lower CRO expenses as a result of study activation costs that were incurred in the six months ended June 30, 2021 and a pause on dosing patients while awaiting the release of clinical trial material from an optimized manufacturing process. We plan to commence dosing patients at DL2 in our PBCAR19B clinical trial in the third quarter of 2022.</w:t>
      </w:r>
    </w:p>
    <w:p>
      <w:pPr>
        <w:spacing w:after="0" w:line="16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Further contributing to the decrease in research and development expenses during the six months ended June 30, 2022 were decreases of $2.7 million, $0.8 million, $0.6 million, and $0.4 million in employee-related costs, laboratory supplies and services, depreciation and amortization, and facility-related costs, respectively, driven by the separation of Elo in 2021. Additionally, unallocated CMO and research organization expense related to our preclinical studies decreased $1.9 million in the six months ended June 30, 2022 compared to the six months ended June 30, 2021, which was primarily driven by the completion of CMO manufacturing programs. These decreases were partially offset by a $0.9 million increase in outsourced research and development costs related to our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programs and a $1.7 million increase in expense related to amortization of the iECURE PCSK9 prepaid as a result of costs incurred by iECURE in the six months ended June 30, 2022 to progress our PBGENE-PCSK9 candidate through a Phase 1 clinical trial.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$21.2 million for the six months ended June 30, 2022 compared to $19.4 million for the six months ended June 30, 2021. The increase of $1.8 million in general and administrative expenses was primarily due to increases of $1.7 million in employee-related costs associated increased wages, share-based compensation expense, and relocation costs for new personnel.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Equity Method Investment</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Loss from equity method investment was $2.4 million during the six months ended June 30, 2022 and represented our proportionate share of New Elo’s net loss for such period. We did not have any equity method investment during the six months ended June 30,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Interest expense was $0.2 million for the six months ended June 30, 2022 and consists of interest payments and debt discount amortization on debt outstanding during the six months ended June 30, 2022. Interest expense was less than $0.1 million for the six months ended June 30,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Interest income was $0.4 million during the six months ended June 30, 2022, which primarily consists of income earned on the $10.0 million Note Receivable due from New Elo. Interest income was $0.1 million during the six months ended June 30, 2021, which consisted of interest income earned on our cash and cash equivalents.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We expect to incur significant expenses and operating losses for the foreseeable future as we advance the preclinical and clinical development of our product candidates. We expect that our research and development and general and administrative costs will continue to increase, including in connection with conducting preclinical studies and clinical trials for our product candidates, contracting with CROs and CMOs, the addition of laboratory equipment to MCAT in support of preclinical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There are no assurances that we will be successful in obtaining an adequate level of financing as and when needed to finance our operations on terms acceptable to us or at all, particularly in light of the ongoing uncertainty related to the economic impacts of the COVID-19 pandemic and variants thereof including sustained inflation, supply chain disruptions, and major central bank policy actions. If we are unable to secure adequate additional funding as and when needed, we may have to significantly delay, scale back or discontinue the development and commercialization of one or more product candidates. In addition, the magnitude and duration of the COVID-19 pandemic and variants thereof and its overall impact on our liquidity and future funding requirements remains uncertain as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4" w:name="page35"/>
    <w:bookmarkEnd w:id="34"/>
    <w:p>
      <w:pPr>
        <w:spacing w:after="0" w:line="258" w:lineRule="auto"/>
        <w:rPr>
          <w:sz w:val="20"/>
          <w:szCs w:val="20"/>
          <w:color w:val="auto"/>
        </w:rPr>
      </w:pPr>
      <w:r>
        <w:rPr>
          <w:rFonts w:ascii="Times New Roman" w:cs="Times New Roman" w:eastAsia="Times New Roman" w:hAnsi="Times New Roman"/>
          <w:sz w:val="18"/>
          <w:szCs w:val="18"/>
          <w:color w:val="auto"/>
        </w:rPr>
        <w:t>of the filing date of this Quarterly Report on Form 10-Q. See “Impact of the COVID-19 Pandemic” above and “</w:t>
      </w:r>
      <w:r>
        <w:rPr>
          <w:rFonts w:ascii="Times New Roman" w:cs="Times New Roman" w:eastAsia="Times New Roman" w:hAnsi="Times New Roman"/>
          <w:sz w:val="18"/>
          <w:szCs w:val="18"/>
          <w:i w:val="1"/>
          <w:iCs w:val="1"/>
          <w:color w:val="auto"/>
        </w:rPr>
        <w:t>Risk Factors— The ongoing novel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coronavirus disease, COVID-19 has impacted, and may continue to impact, our business, and any other pandemic, epidemic or outbreak of an infectious disease may materially and adversely impact our business, including our preclinical studies and clinical trials” </w:t>
      </w:r>
      <w:r>
        <w:rPr>
          <w:rFonts w:ascii="Times New Roman" w:cs="Times New Roman" w:eastAsia="Times New Roman" w:hAnsi="Times New Roman"/>
          <w:sz w:val="18"/>
          <w:szCs w:val="18"/>
          <w:color w:val="auto"/>
        </w:rPr>
        <w:t>in Part II. Item 1A. of this Quarterly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10-Q for a further discussion of the potential impact of the COVID-19 pandemic and its variants on our business. Additionally, impacts from Russia’s war with Ukraine may present additional challenges in global market conditions that could impact our ability to secure additional funding.</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do not currently have any approved products and have never generated any revenue from product sales. Through the date of filing this Quarterly Report on Form 10-Q, we have financed our operations primarily through proceeds from upfront and milestone payments from collaboration and licensing agreements, our IPO, private placements of our common stock, convertible preferred stock and convertible debt financings, underwritten and at-the-market offerings of common stock and borrowing on credit facilities. As of June 30, 2022, we had raised approximately $759.0 million of proceeds from third parties through a combination of financings including our IPO, preferred stock and convertible note financings, underwritten and at-the-market offerings of common stock as part of our shelf registration statement, upfront and milestone payments from customers and funding from other strategic alliances and grants.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currently have an effective shelf registration statement on Form S-3 (No. 333-238857) filed with the SEC on June 1, 2020 (the “Form S-3”) under which we may offer from time to time in one or more offerings any combination of common and preferred stock, debt securities, warrants and units of up to $200.0 million in the aggregate. As of June 30, 2022, we had sold 3,187,508 shares of our common stock in at-the-market offerings as part of our shelf registration statement, resulting in net proceeds of $28.1 million, after deducting agent commissions and issuance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and cash equivalents totaled $184.1 million and $173.9 million as of June 30, 2022 and 2021,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the periods presented: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2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CFF0FC"/>
            </w:tcBorders>
            <w:vMerge w:val="continue"/>
          </w:tcPr>
          <w:p>
            <w:pPr>
              <w:spacing w:after="0"/>
              <w:rPr>
                <w:sz w:val="19"/>
                <w:szCs w:val="19"/>
                <w:color w:val="auto"/>
              </w:rPr>
            </w:pPr>
          </w:p>
        </w:tc>
        <w:tc>
          <w:tcPr>
            <w:tcW w:w="22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(53,096)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(2,815)</w:t>
            </w:r>
          </w:p>
        </w:tc>
        <w:tc>
          <w:tcPr>
            <w:tcW w:w="0" w:type="dxa"/>
            <w:vAlign w:val="bottom"/>
          </w:tcPr>
          <w:p>
            <w:pPr>
              <w:spacing w:after="0"/>
              <w:rPr>
                <w:sz w:val="1"/>
                <w:szCs w:val="1"/>
                <w:color w:val="auto"/>
              </w:rPr>
            </w:pPr>
          </w:p>
        </w:tc>
      </w:tr>
      <w:tr>
        <w:trPr>
          <w:trHeight w:val="230"/>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95,165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2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40,472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(Used in) Operating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use of cash is to fund operating expenses, which consist primarily of research and development and general and administrative</w:t>
      </w:r>
    </w:p>
    <w:p>
      <w:pPr>
        <w:spacing w:after="0" w:line="27"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expenses. Cash provided by (used in) operating activities during the six months ended June 30, 2022 and June 30, 2021 resulted from our net loss adjusted for non-cash expenses and changes in working capital.</w:t>
      </w:r>
    </w:p>
    <w:p>
      <w:pPr>
        <w:spacing w:after="0" w:line="18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Cash used in operating activities during the six months ended June 30, 2022 was $53.1 million compared to $36.7 million provided by operating activities during the six months ended June 30, 2021. The increase in cash used in operating activities in the six months ended June 30, 2022 was primarily due to the $100.0 million upfront payment received from Lilly in January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primarily relates to cash expenditures to acquire leasehold additions, equipment, software and intangible assets. Net cash used in investing activities during the six months ended June 30, 2022 was $1.6 million, compared to $2.8 million in the six months ended June 30,</w:t>
      </w:r>
    </w:p>
    <w:p>
      <w:pPr>
        <w:ind w:right="200"/>
        <w:spacing w:after="0" w:line="260" w:lineRule="auto"/>
        <w:rPr>
          <w:sz w:val="20"/>
          <w:szCs w:val="20"/>
          <w:color w:val="auto"/>
        </w:rPr>
      </w:pPr>
      <w:r>
        <w:rPr>
          <w:rFonts w:ascii="Times New Roman" w:cs="Times New Roman" w:eastAsia="Times New Roman" w:hAnsi="Times New Roman"/>
          <w:sz w:val="18"/>
          <w:szCs w:val="18"/>
          <w:color w:val="auto"/>
        </w:rPr>
        <w:t>2021. The $1.2 million decrease in cash used in investing activities was due to a decrease in cash expenditures for purchases of laboratory equipment for our MCAT facility during the six months ended June 30, 2022 compared to the six months ended June 30,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2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during the six months ended June 30, 2022 was $95.2 million, compared to $50.2 million during the six months ended June 30, 2021. The increase in cash provided by financing activities during the six months ended June 30, 2022 was primarily due to $46.9 million in net proceeds from our underwritten offering of common stock in June 2022, $25.0 million in proceeds from the Novartis Stock Purchase Agreement, and $20.0 million in borrowings from our revolving credit facility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in May 2022, partially offset by $35.0 million in proceeds from the Lilly Share Purchase Agreement received in the six months ended June 30, 2021.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Obligations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Line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request advances on our loan and security agreement (as amended from time to time, the “Revolving Line”) with Pacific Western Bank (“PWB”) up to an aggregate principal of $30.0 million. In July 2022, the Revolving Line maturity date was extended to June 23, 2024 upon receipt of $100.0 million in aggregate new gross proceeds (as defined in the Revolving Line). All outstanding principal amounts are due upon maturity. We must also maintain an aggregate balance of unrestricted cash at PWB (not including amounts in certain specified accounts) equal to or greater than $10.0 million. The interest rate on Revolving Line borrowings is a variable annual rate equal to the greater of (a) 0.75% above the Prime Rate (as defined in the Revolving Line), or (b)</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4.25%. As of June 30, 2022, the outstanding principal balance on the Revolving Line was $22.5 million and the stated interest rate was 5.50%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 Requirements</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As a clinical stage company, we will continue to have funding requirements in connection with the continuation of our current clinical trials and planned initiation of additional clinical trials, potential IND, CTA and biologics license application (“BLA”) filings, and expected growth in our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portfolios.</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believe that, as of the date of this Quarterly Report on Form 10-Q, existing cash and cash equivalents, which includes the receipt of an upfront cash payment of $50.0 million under the Novartis Agreement in July 2022, as previously disclosed, expected operational receipts and available credit will allow us to fund operating expense and capital expenditure requirements to the end of 2024. We have based these estimates on assumptions that may prove to be imprecise, and we could utilize our available capital resources sooner than we expect. Because of the numerous risks and uncertainties associated with research, development and commercialization of pharmaceutical products, it is difficult to estimate with certainty the amount of our working capital requirements. Our future funding requirements will depend on many factors, including:</w:t>
      </w:r>
    </w:p>
    <w:p>
      <w:pPr>
        <w:spacing w:after="0" w:line="79" w:lineRule="exact"/>
        <w:rPr>
          <w:sz w:val="20"/>
          <w:szCs w:val="20"/>
          <w:color w:val="auto"/>
        </w:rPr>
      </w:pPr>
    </w:p>
    <w:p>
      <w:pPr>
        <w:ind w:left="740" w:right="160" w:hanging="368"/>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clinical development for our CD19, CD19B, and BCMA programs as we progress clinical trials, including CRO costs;</w:t>
      </w:r>
    </w:p>
    <w:p>
      <w:pPr>
        <w:spacing w:after="0" w:line="159" w:lineRule="exact"/>
        <w:rPr>
          <w:rFonts w:ascii="Times New Roman" w:cs="Times New Roman" w:eastAsia="Times New Roman" w:hAnsi="Times New Roman"/>
          <w:sz w:val="18"/>
          <w:szCs w:val="18"/>
          <w:color w:val="auto"/>
        </w:rPr>
      </w:pPr>
    </w:p>
    <w:p>
      <w:pPr>
        <w:ind w:left="740" w:right="40" w:hanging="368"/>
        <w:spacing w:after="0" w:line="284"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progress, costs and results of our additional research and preclinical development programs including our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pipeline and our planned IND or CTA submissions and potential BLA filings;</w:t>
      </w:r>
    </w:p>
    <w:p>
      <w:pPr>
        <w:spacing w:after="0" w:line="160"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and other comparable foreign regulatory authorities;</w:t>
      </w:r>
    </w:p>
    <w:p>
      <w:pPr>
        <w:spacing w:after="0" w:line="238" w:lineRule="exact"/>
        <w:rPr>
          <w:rFonts w:ascii="Times New Roman" w:cs="Times New Roman" w:eastAsia="Times New Roman" w:hAnsi="Times New Roman"/>
          <w:sz w:val="18"/>
          <w:szCs w:val="18"/>
          <w:color w:val="auto"/>
        </w:rPr>
      </w:pPr>
    </w:p>
    <w:p>
      <w:pPr>
        <w:ind w:left="740" w:right="180" w:hanging="368"/>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internal process development and manufacturing scale-up activities and contract with CMOs associated with our CD19, CD19B, and BCMA programs and other programs we advance through preclinical and clinical development;</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licensing or other agreements and the financial terms of such agreements;</w:t>
      </w:r>
    </w:p>
    <w:p>
      <w:pPr>
        <w:spacing w:after="0" w:line="238" w:lineRule="exact"/>
        <w:rPr>
          <w:rFonts w:ascii="Times New Roman" w:cs="Times New Roman" w:eastAsia="Times New Roman" w:hAnsi="Times New Roman"/>
          <w:sz w:val="18"/>
          <w:szCs w:val="18"/>
          <w:color w:val="auto"/>
        </w:rPr>
      </w:pPr>
    </w:p>
    <w:p>
      <w:pPr>
        <w:ind w:left="740" w:right="560" w:hanging="368"/>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any product candidates that we may derive from ARCUS or any other product candidates we may develop alone or with collaborators;</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acquire rights to other products, product candidates or technologies;</w:t>
      </w:r>
    </w:p>
    <w:p>
      <w:pPr>
        <w:spacing w:after="0" w:line="238" w:lineRule="exact"/>
        <w:rPr>
          <w:rFonts w:ascii="Times New Roman" w:cs="Times New Roman" w:eastAsia="Times New Roman" w:hAnsi="Times New Roman"/>
          <w:sz w:val="18"/>
          <w:szCs w:val="18"/>
          <w:color w:val="auto"/>
        </w:rPr>
      </w:pPr>
    </w:p>
    <w:p>
      <w:pPr>
        <w:ind w:left="740" w:right="460" w:hanging="368"/>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protecting our intellectual property rights and defending against any intellectual property-related claims; and</w:t>
      </w:r>
    </w:p>
    <w:p>
      <w:pPr>
        <w:spacing w:after="0" w:line="161" w:lineRule="exact"/>
        <w:rPr>
          <w:rFonts w:ascii="Times New Roman" w:cs="Times New Roman" w:eastAsia="Times New Roman" w:hAnsi="Times New Roman"/>
          <w:sz w:val="18"/>
          <w:szCs w:val="18"/>
          <w:color w:val="auto"/>
        </w:rPr>
      </w:pPr>
    </w:p>
    <w:p>
      <w:pPr>
        <w:ind w:left="740" w:right="200" w:hanging="368"/>
        <w:spacing w:after="0" w:line="282" w:lineRule="auto"/>
        <w:tabs>
          <w:tab w:leader="none" w:pos="7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product candidates for which we or our collaborators obtain marketing approval.</w:t>
      </w:r>
    </w:p>
    <w:p>
      <w:pPr>
        <w:spacing w:after="0" w:line="270"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Until such time, if ever, that we can generate product revenue sufficient to achieve profitability, we expect to finance our cash needs through a combination of public or private equity or debt financings, collaboration agreements,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funding, strategic alliances, licensing arrangements and marketing and/or distribution arrangements. See “</w:t>
      </w:r>
      <w:r>
        <w:rPr>
          <w:rFonts w:ascii="Times New Roman" w:cs="Times New Roman" w:eastAsia="Times New Roman" w:hAnsi="Times New Roman"/>
          <w:sz w:val="18"/>
          <w:szCs w:val="18"/>
          <w:i w:val="1"/>
          <w:iCs w:val="1"/>
          <w:color w:val="auto"/>
        </w:rPr>
        <w:t>Risk Factors – We will need substantial additional funding, and if we are unable to raise a sufficient amount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capital when needed on acceptable terms, or at all, we may be forced to delay, reduce or eliminate some or all of our research programs, product development activities and commercialization efforts.” </w:t>
      </w:r>
      <w:r>
        <w:rPr>
          <w:rFonts w:ascii="Times New Roman" w:cs="Times New Roman" w:eastAsia="Times New Roman" w:hAnsi="Times New Roman"/>
          <w:sz w:val="18"/>
          <w:szCs w:val="18"/>
          <w:color w:val="auto"/>
        </w:rPr>
        <w:t>in Part II, Item 1A. of this Quarterly Report on Form 10-Q for a further discussion of our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 and obtain adequate amounts of funding in connection with our continuing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shareholders’ ownership interest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36" w:name="page37"/>
    <w:bookmarkEnd w:id="36"/>
    <w:p>
      <w:pPr>
        <w:spacing w:after="0" w:line="254" w:lineRule="auto"/>
        <w:rPr>
          <w:sz w:val="20"/>
          <w:szCs w:val="20"/>
          <w:color w:val="auto"/>
        </w:rPr>
      </w:pPr>
      <w:r>
        <w:rPr>
          <w:rFonts w:ascii="Times New Roman" w:cs="Times New Roman" w:eastAsia="Times New Roman" w:hAnsi="Times New Roman"/>
          <w:sz w:val="18"/>
          <w:szCs w:val="18"/>
          <w:color w:val="auto"/>
        </w:rPr>
        <w:t>will be diluted, and the terms of these securities may include liquidation or other preferences that adversely affect the rights of our shareholders.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other third-party funding, collaboration agreements, strategic alliances, licensing arrangements or marketing and distribution arrangements, we may have to relinquish valuable rights to our technologies, future revenue streams, product development and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contractual obligations from those described in our Annual Report on Form 10-K for the fiscal year ended December 31, 2021. As discussed in </w:t>
      </w:r>
      <w:r>
        <w:rPr>
          <w:rFonts w:ascii="Times New Roman" w:cs="Times New Roman" w:eastAsia="Times New Roman" w:hAnsi="Times New Roman"/>
          <w:sz w:val="18"/>
          <w:szCs w:val="18"/>
          <w:i w:val="1"/>
          <w:iCs w:val="1"/>
          <w:color w:val="auto"/>
        </w:rPr>
        <w:t>Debt Obligations</w:t>
      </w:r>
      <w:r>
        <w:rPr>
          <w:rFonts w:ascii="Times New Roman" w:cs="Times New Roman" w:eastAsia="Times New Roman" w:hAnsi="Times New Roman"/>
          <w:sz w:val="18"/>
          <w:szCs w:val="18"/>
          <w:color w:val="auto"/>
        </w:rPr>
        <w:t xml:space="preserve"> above, in May 2022, the Company and PWB executed the Seventh Amendment to the Revolving Line.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and estimates are described in “Item 7. Management’s Discussion and Analysis of Financial Condition and Results of Operations—Critical Accounting Policies and Use of Estimates” in our Annual Report on Form 10-K. We have reviewed those critical accounting policies and estimates for the six months ended June 30, 2022, and there have been no significant changes in our critical accounting policies and estimates from those disclosed in our Annual Report on Form 10-K for the fiscal year ended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We have elected to take advantage of the extended transition period for complying with new or revised accounting standards. As an “emerging growth company,” we are also exempted from having to provide an auditor attestation of internal control over financial reporting under Sarbanes-Oxley Act Section 404(b).</w:t>
      </w:r>
    </w:p>
    <w:p>
      <w:pPr>
        <w:spacing w:after="0" w:line="183"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the fiscal year in which we have total annual gross revenues of $1.07 billion or more, (2) December 31, 2024, (3) the date on which we have issued more than $1.0 billion in nonconvertible debt during the previous three years or (4) the date on which we are deemed to be a large accelerated filer under the rules of the SEC, which means the market value of our common stock held by non-affiliates exceeds $700 million as of the prior June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include interest rate sensitivities. Our interest-earning assets consist of cash and cash equivalents, which are denominated in U.S. dollars. We had cash and cash equivalents of $184.1 million, or 62% of our total assets, on June 30, 2022 and $143.7 million, or 68% of our total assets, on December 31, 2021. Interest income earned was $0.4 million and $0.1 million for the six months ended June 30, 2022 and 2021, respectively. Our interest income is sensitive to changes in the general level of interest rates, primarily U.S. interest rates, however, we do not anticipate fluctuations in interest rates to have a material impact on our financial statements.</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are also exposed to foreign exchange rate risk with respect to foreign currency transactions. We do not anticipate foreign exchange rate risk to have a material impact on our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Exchange Act. Based on that evaluation, our Chief Executive Officer and Chief Financial Officer concluded that our disclosure controls and procedures were effective at the reasonable assurance level as of June 30,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Rules 13a-15(f) and 15d-15(f) under the Exchange Act) during the three months ended June 30, 2022 that have materially affected, or are reasonably likely to materially affect, our internal control over financial reporting.</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38" w:name="page39"/>
    <w:bookmarkEnd w:id="3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claims and proceedings arising in the course of our business. The outcome of any such claims or proceedings, regardless of the merits, is inherently uncertain. We are not currently party to any material 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investing in our common stock, you should consider carefully the risks described below, together with the other information included or incorporated by reference in this Quarterly Report on Form 10-Q. The occurrence of any of the following risks could materially adversely affect our business, financial condition, results of operations and future growth prospects. In these circumstances, the market price of our common stock could decline, and you may lose all or part of your investment.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Limited Operating History and Need for Additional Capital</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expect to continue to incur losses for the foreseeable future. We have not been profitable and may not achieve or maintain profitability.</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do not expect to be profitable in the foreseeable future. Since inception, we have incurred significant operating losses. If our product candidates are not successfully developed and approved, we may never generate any revenue from product sales. Our net loss was $59.2 million for the six months ended June 30, 2022. As of June 30, 2022, we had an accumulated deficit of $375.9 million. In addition, we have not commercialized any products and have never generated any revenue from product sales. Substantially all of our losses have resulted from expenses incurred in connection with our research and development activities, including our preclinical development activities, and from general and administrative costs associated with our operations. We have financed our operations primarily through proceeds from upfront and milestone payments from collaboration and licensing agreements, our IPO, private placements of our common stock, convertible preferred stock and convertible debt financings, underwritten and at-the-market offerings of common stock, and borrowings on credit facilities. The amount of our future net losses will depend, in part, on the amount and growth rate of our expenses and our ability to generate revenues.</w:t>
      </w:r>
    </w:p>
    <w:p>
      <w:pPr>
        <w:spacing w:after="0" w:line="18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All of our current or future product candidates will require substantial additional development time and resources before we may realize revenue from product sales, if at all. We expect to continue to incur significant expenses and operating losses for the foreseeable future. Our expenses have increased and we anticipate will continue to increase if and as we:</w:t>
      </w:r>
    </w:p>
    <w:p>
      <w:pPr>
        <w:spacing w:after="0" w:line="68" w:lineRule="exact"/>
        <w:rPr>
          <w:sz w:val="20"/>
          <w:szCs w:val="20"/>
          <w:color w:val="auto"/>
        </w:rPr>
      </w:pPr>
    </w:p>
    <w:p>
      <w:pPr>
        <w:ind w:left="740" w:hanging="368"/>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current research and development programs, including conducting laboratory, and preclinical studies for product candidates;</w:t>
      </w:r>
    </w:p>
    <w:p>
      <w:pPr>
        <w:spacing w:after="0" w:line="23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conduct or initiate clinical trials for product candidates;</w:t>
      </w:r>
    </w:p>
    <w:p>
      <w:pPr>
        <w:spacing w:after="0" w:line="23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assess, acquire or develop additional research programs or product candidates;</w:t>
      </w:r>
    </w:p>
    <w:p>
      <w:pPr>
        <w:spacing w:after="0" w:line="23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3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product candidates that may successfully complete development;</w:t>
      </w:r>
    </w:p>
    <w:p>
      <w:pPr>
        <w:spacing w:after="0" w:line="23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that may obtain marketing approval;</w:t>
      </w:r>
    </w:p>
    <w:p>
      <w:pPr>
        <w:spacing w:after="0" w:line="23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refine the manufacturing process for our product candidates;</w:t>
      </w:r>
    </w:p>
    <w:p>
      <w:pPr>
        <w:spacing w:after="0" w:line="23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add additional manufacturers or suppliers of biological materials or product candidates;</w:t>
      </w:r>
    </w:p>
    <w:p>
      <w:pPr>
        <w:spacing w:after="0" w:line="23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our genome editing technology;</w:t>
      </w:r>
    </w:p>
    <w:p>
      <w:pPr>
        <w:spacing w:after="0" w:line="23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technologies;</w:t>
      </w:r>
    </w:p>
    <w:p>
      <w:pPr>
        <w:spacing w:after="0" w:line="23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attract new and retain existing personnel;</w:t>
      </w:r>
    </w:p>
    <w:p>
      <w:pPr>
        <w:spacing w:after="0" w:line="23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facilities; and</w:t>
      </w:r>
    </w:p>
    <w:p>
      <w:pPr>
        <w:spacing w:after="0" w:line="23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increased costs as a result of operating as a public company.</w:t>
      </w:r>
    </w:p>
    <w:p>
      <w:pPr>
        <w:spacing w:after="0" w:line="34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It will be several years, if ever, before we obtain regulatory approval for, and are ready for commercialization of, a therapeutic product candidate. Even if a therapeutic product candidate receives regulatory approval, future revenues for such product candidate will depend upon many factors, such as, as applicable, the size of any markets in which such product candidate is approved for sale, the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39" w:name="page40"/>
    <w:bookmarkEnd w:id="39"/>
    <w:p>
      <w:pPr>
        <w:spacing w:after="0" w:line="256" w:lineRule="auto"/>
        <w:rPr>
          <w:sz w:val="20"/>
          <w:szCs w:val="20"/>
          <w:color w:val="auto"/>
        </w:rPr>
      </w:pPr>
      <w:r>
        <w:rPr>
          <w:rFonts w:ascii="Times New Roman" w:cs="Times New Roman" w:eastAsia="Times New Roman" w:hAnsi="Times New Roman"/>
          <w:sz w:val="18"/>
          <w:szCs w:val="18"/>
          <w:color w:val="auto"/>
        </w:rPr>
        <w:t>market share captured by such product candidate, including as a result of the market acceptance of such product candidate and the effectiveness of manufacturing, sales, marketing and distribution operations related to such product candidate, the terms of any collaboration or other strategic arrangement we may have with respect to such product candidate and levels of reimbursement from third-party payors. If we are unable to develop and commercialize one or more product candidates either alone or with collaborators, or if revenues from any product candidate that receives marketing approval or is commercialized are insufficient, we may not achieve profitability. Even if we do achieve profitability, we may not be able to sustain or increase profitability. If we are unable to achieve and maintain profitability, the value of our common stock will be materially adversely affected.</w:t>
      </w:r>
    </w:p>
    <w:p>
      <w:pPr>
        <w:spacing w:after="0" w:line="18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and if we are unable to raise a sufficient amount of capital when needed on acceptable terms, or at all, we may be forced to delay, reduce or eliminate some or all of our research programs, product development activities and commercialization efforts.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process of identifying product candidates and conducting preclinical studies and clinical trials is time consuming, expensive, uncertain and takes years to complete. We expect our expenses to increase in connection with our ongoing activities, particularly as we identify, continue the research and development of, initiate and continue clinical trials of, and seek marketing approval for, product candidates. In addition, if any therapeutic product candidate that we develop alone or with collaborators obtains marketing approval, we may incur significant commercialization expenses related to product manufacturing, sales, marketing and distribution efforts. Furthermore, we have incurred, and expect to continue to incur additional costs associated with operating as a public company. Accordingly, we will need to obtain substantial additional funding in connection with our continuing operations. If we are unable to raise sufficient capital when needed, we may be forced to delay, reduce or eliminate current or future research programs, product development activities and/or commercialization efforts.</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believe that, as of the date of this Quarterly Report on Form 10-Q, existing cash and cash equivalents, which includes the receipt of an upfront cash payment of $50.0 million under the Novartis Agreement in July 2022, as previously disclosed, expected operational receipts and available credit will allow us to fund operating expense and capital expenditure requirements to the end of 2024. We have based this estimate on assumptions that may prove to be wrong, and we could use our capital resources sooner than we currently expect. Our operating plans and other demands on our cash resources may change as a result of many factors, including factors unknown to us, and we may need to seek additional funds sooner than planned, through public or private equity or debt financings or other sources, such as strategic collaborations. We do not currently expect future grant revenues to be a material source of revenue.</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Attempting to secure additional financing may divert our management from our day-to-day activities, which may adversely affect our ability to develop product candidates. Our future capital requirements will depend on many factors, including:</w:t>
      </w:r>
    </w:p>
    <w:p>
      <w:pPr>
        <w:spacing w:after="0" w:line="54" w:lineRule="exact"/>
        <w:rPr>
          <w:sz w:val="20"/>
          <w:szCs w:val="20"/>
          <w:color w:val="auto"/>
        </w:rPr>
      </w:pPr>
    </w:p>
    <w:p>
      <w:pPr>
        <w:ind w:left="740" w:right="20" w:hanging="368"/>
        <w:spacing w:after="0" w:line="282"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progress, costs, results and analysis of results of research activities, preclinical studies and clinical trials for any of our product candidates;</w:t>
      </w:r>
    </w:p>
    <w:p>
      <w:pPr>
        <w:spacing w:after="0" w:line="161" w:lineRule="exact"/>
        <w:rPr>
          <w:rFonts w:ascii="Times New Roman" w:cs="Times New Roman" w:eastAsia="Times New Roman" w:hAnsi="Times New Roman"/>
          <w:sz w:val="18"/>
          <w:szCs w:val="18"/>
          <w:color w:val="auto"/>
        </w:rPr>
      </w:pPr>
    </w:p>
    <w:p>
      <w:pPr>
        <w:ind w:left="740" w:right="20" w:hanging="368"/>
        <w:spacing w:after="0" w:line="282"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activities, including product manufacturing, sales, marketing and distribution activities for any product candidates that receive regulatory approval;</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existing collaborative relationships;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exercise any development or commercialization rights under collaborative relationships;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collaborative relationships on favorable terms, or at all;</w:t>
      </w:r>
    </w:p>
    <w:p>
      <w:pPr>
        <w:spacing w:after="0" w:line="225" w:lineRule="exact"/>
        <w:rPr>
          <w:rFonts w:ascii="Times New Roman" w:cs="Times New Roman" w:eastAsia="Times New Roman" w:hAnsi="Times New Roman"/>
          <w:sz w:val="18"/>
          <w:szCs w:val="18"/>
          <w:color w:val="auto"/>
        </w:rPr>
      </w:pPr>
    </w:p>
    <w:p>
      <w:pPr>
        <w:ind w:left="740" w:right="440" w:hanging="368"/>
        <w:spacing w:after="0" w:line="282"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expand our operations and the timing of such expansion, including with respect to facilities, employees and product development platforms;</w:t>
      </w:r>
    </w:p>
    <w:p>
      <w:pPr>
        <w:spacing w:after="0" w:line="161" w:lineRule="exact"/>
        <w:rPr>
          <w:rFonts w:ascii="Times New Roman" w:cs="Times New Roman" w:eastAsia="Times New Roman" w:hAnsi="Times New Roman"/>
          <w:sz w:val="18"/>
          <w:szCs w:val="18"/>
          <w:color w:val="auto"/>
        </w:rPr>
      </w:pPr>
    </w:p>
    <w:p>
      <w:pPr>
        <w:ind w:left="740" w:right="140" w:hanging="368"/>
        <w:spacing w:after="0" w:line="282"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and proprietary rights and defending intellectual property-related claims;</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technologies or product candidates;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other businesses;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continuing to operate as a public company; and</w:t>
      </w:r>
    </w:p>
    <w:p>
      <w:pPr>
        <w:spacing w:after="0" w:line="225" w:lineRule="exact"/>
        <w:rPr>
          <w:rFonts w:ascii="Times New Roman" w:cs="Times New Roman" w:eastAsia="Times New Roman" w:hAnsi="Times New Roman"/>
          <w:sz w:val="18"/>
          <w:szCs w:val="18"/>
          <w:color w:val="auto"/>
        </w:rPr>
      </w:pPr>
    </w:p>
    <w:p>
      <w:pPr>
        <w:ind w:left="740" w:right="680" w:hanging="368"/>
        <w:spacing w:after="0" w:line="282"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revenues, if any, received from commercial sales of any products that we develop alone or with collaborators that receive regulatory approval.</w:t>
      </w:r>
    </w:p>
    <w:p>
      <w:pPr>
        <w:spacing w:after="0" w:line="270"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Even if we believe we have sufficient funds for our current or future operating plans, we may continue to seek additional capital if market conditions are favorable or in light of specific strategic considerations. Adequate additional financing may not be available to us on acceptable terms, or at all. If we are unable to obtain sufficient funding on a timely basis or on favorable terms, we may be required to significantly delay, reduce or eliminate one or more of our research or product development programs and/or commercialization efforts. We may also be unable to expand our operations or otherwise capitalize on business opportunities as desired. Any of these events could materially adversely affect our financial condition and business prospects.</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86"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of our debt instruments may restrict our ability to pursue our business strategies.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May 2019, the Company entered into a loan and security agreement with Pacific Western Bank (“PWB”), (as subsequently amended, the “Revolving Line”). Pursuant to the terms of the Revolving Line, we may request advances on a revolving line of credit of up to an aggregate principal of $30.0 million and the maturity date of the Revolving Line is June 23, 2024. As of June 30, 2022, we had $22.5 million in borrowings under our Revolving Line. Pursuant to the terms of the Revolving Line, we granted PWB a security interest in substantially all of our assets, excluding any of the intellectual property now or hereafter owned, acquired or received by us (but including any rights to payment from the sale or licensing of any such intellectual property).</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Revolving Line requires us, and any debt instruments we may enter into in the future may require us, to comply with various covenants that limit our ability to, among other things:</w:t>
      </w:r>
    </w:p>
    <w:p>
      <w:pPr>
        <w:spacing w:after="0" w:line="54" w:lineRule="exact"/>
        <w:rPr>
          <w:sz w:val="20"/>
          <w:szCs w:val="20"/>
          <w:color w:val="auto"/>
        </w:rPr>
      </w:pPr>
    </w:p>
    <w:p>
      <w:pPr>
        <w:ind w:left="740" w:hanging="368"/>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23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our name, location, executive office or executive management, business, fiscal year, or control;</w:t>
      </w:r>
    </w:p>
    <w:p>
      <w:pPr>
        <w:spacing w:after="0" w:line="23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mergers or acquisitions;</w:t>
      </w:r>
    </w:p>
    <w:p>
      <w:pPr>
        <w:spacing w:after="0" w:line="23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w:t>
      </w:r>
    </w:p>
    <w:p>
      <w:pPr>
        <w:spacing w:after="0" w:line="23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encumber assets;</w:t>
      </w:r>
    </w:p>
    <w:p>
      <w:pPr>
        <w:spacing w:after="0" w:line="23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to holders of our capital stock;</w:t>
      </w:r>
    </w:p>
    <w:p>
      <w:pPr>
        <w:spacing w:after="0" w:line="23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specified investments;</w:t>
      </w:r>
    </w:p>
    <w:p>
      <w:pPr>
        <w:spacing w:after="0" w:line="23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capitalized expenditures in excess of $40 million in the aggregate during each fiscal year;</w:t>
      </w:r>
    </w:p>
    <w:p>
      <w:pPr>
        <w:spacing w:after="0" w:line="23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less than $10.0 million of unrestricted cash at PWB; and</w:t>
      </w:r>
    </w:p>
    <w:p>
      <w:pPr>
        <w:spacing w:after="0" w:line="238"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our affiliates.</w:t>
      </w:r>
    </w:p>
    <w:p>
      <w:pPr>
        <w:spacing w:after="0" w:line="34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These restrictions could inhibit our ability to pursue our business strategies. In addition, we are subject to financial covenants based on minimum cash balances.</w:t>
      </w:r>
    </w:p>
    <w:p>
      <w:pPr>
        <w:spacing w:after="0" w:line="15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and/or debt financings and collaborations, licensing agreements or other strategic arrangements. To the extent that we raise additional capital through the sale of equity or convertible debt securities, including in underwritten and at-the-market offerings, your ownership interest will be diluted, and the terms of such securities may include liquidation or other preferences that adversely affect your rights as a common stockholder. To the extent that we raise additional capital through debt financing, it would result in increased fixed payment obligations and a portion of our operating cash flows, if any, being dedicated to the payment of principal and interest on such indebtedness. In addition, debt financing may involve agreements that include restrictive covenants that impose operating restrictions, such as restrictions on the incurrence of additional debt, the making of certain capital expenditures or the declaration of dividends. To the extent we raise additional capital through arrangements with collaborators or otherwise, we may be required to relinquish some of our technologies, research programs, product development activities, product candidates and/or future revenue streams, license our technologies and/or product candidates on unfavorable terms or otherwise agree to terms unfavorable to us. Furthermore, any capital raising efforts may divert our management from their day-to-day activities, which may adversely affect our ability to advance research programs, product development activities or product candidates.</w:t>
      </w:r>
    </w:p>
    <w:p>
      <w:pPr>
        <w:spacing w:after="0" w:line="18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makes it difficult to evaluate our current business and future prospects and may increase the risk of your investment.</w:t>
      </w:r>
    </w:p>
    <w:p>
      <w:pPr>
        <w:spacing w:after="0" w:line="1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a genome editing company with a limited operating history. We formed our company in 2006 and spent the first nine years of our company’s history developing and refining our core technology, and only during the past several years have we focused our efforts on advancing the development of product candidates.</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Investment in biopharmaceutical product development is a highly speculative endeavor. It entails substantial upfront capital expenditures, and there is significant risk that any product candidate will fail to demonstrate adequate efficacy or an acceptable safety profile, obtain any required regulatory approvals or become commercially viable. Our genome editing platform and the technologies we are using are new and unproven. We have initiated a Phase 1/2a clinical trial in patients with R/R NHL and R/R B-ALL, a Phase 1 clinical trial in patients with NHL and a Phase 1/2a clinical trial in patients with R/R multiple myeloma. We have not yet demonstrated an ability to successfully complete any clinical trials, obtain any required marketing approvals, manufacture products,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2" w:right="359" w:bottom="1440" w:gutter="0" w:footer="0" w:header="0"/>
        </w:sectPr>
      </w:pPr>
    </w:p>
    <w:bookmarkStart w:id="41" w:name="page42"/>
    <w:bookmarkEnd w:id="41"/>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conduct sales, marketing and distribution activities, or arrange for a third party to do any of the foregoing on our behalf. Consequently, any predictions made about our future success or viability may not be as accurate as they could be if we had a history of successfully developing and commercializing products.</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Additionally, we encounter risks and difficulties frequently experienced by new and growing companies in rapidly developing and changing industries, including challenges in forecasting accuracy, determining appropriate investments of our limited resources, gaining market acceptance of our technology, managing a complex regulatory landscape and developing new product candidates, which may make it more difficult to evaluate our likelihood of success. Our current operating model may require changes in order for us to adjust to these challenges or scale our operations efficiently. Our limited operating history, particularly in light of the rapidly evolving nature of the biopharmaceutical industry and the genome editing field, may make it difficult to evaluate our technology and business prospects or to predict our future performance. Additionally, due to the stage of our operations, we expect that our financial condition and operating results may fluctuate significantly from quarter to quarter as a result of many factors as we build our business, and you should not rely upon the results of any particular quarterly or annual period as indications of future operating performance.</w:t>
      </w:r>
    </w:p>
    <w:p>
      <w:pPr>
        <w:spacing w:after="0" w:line="18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on pursuing particular research programs or product candidates that may be less successful or profitable than other programs or product candidates.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Research programs to identify new product candidates and product development platforms require substantial technical, financial and human resources. We may focus our efforts and resources on potential programs, product candidates or product development platforms that ultimately prove to be unsuccessful. Any time, effort and financial resources we expend on identifying and researching new product candidates and product development platforms may divert our attention from, and adversely affect our ability to continue, development and commercialization of existing research programs, product candidates and product development platforms. Clinical trials of any of our product candidates may never commence despite the expenditure of significant resources in pursuit of their development, and our spending on current and future research and development programs, product candidates and product development platforms may not yield any commercially viable products. As a result of having limited financial and managerial resources, we may forego or delay pursuit of opportunities that later prove to have greater commercial potential. For example, in 2021 we entered into an agreement with a syndicate of investors to separate from our wholly owned subsidiary, Elo Life Systems, and create an independent new food and agriculture business. Our resource allocation decisions may cause us to fail to timely capitalize on viable commercial products or profitable market opportunities. Additionally, if we do not accurately evaluate the commercial potential or target market for a particular product candidate, we may relinquish valuable rights to that product candidate through collaboration, licensing or other strategic arrangements in cases in which it would have been more advantageous for us to retain sole development and commercialization rights to such product candidate.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Identification, Development and Commercialization of Our Product Candidates</w:t>
      </w:r>
    </w:p>
    <w:p>
      <w:pPr>
        <w:spacing w:after="0" w:line="225"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ARCUS is a novel technology, making it difficult to predict the time, cost and potential success of product candidate development. We have not yet been able to assess the safety and efficacy of most of our product candidates in humans and have only limited safety and efficacy information in humans to date regarding three of our product candidates.</w:t>
      </w:r>
    </w:p>
    <w:p>
      <w:pPr>
        <w:spacing w:after="0" w:line="1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success depends on our ability to develop and commercialize product candidates using our novel genome editing technology. The novel nature of our technology makes it difficult to accurately predict the developmental challenges we may face for product candidates as they proceed through research, preclinical studies and clinical trials. There have been a limited number of clinical trials of products created with genome editing technologies, four of which have utilized our technology. Because our therapeutic research programs are all in preclinical or early clinical stages, we have only been able to assess limited safety and efficacy data for one of our product candidates in a human trial. Current or future product candidates may not meet safety and efficacy requirements for continued development or ultimate approval in humans and may cause significant adverse events or toxicities. All of our product candidates are designed to act at the level of DNA, and because animal DNA differs from human DNA, it will be difficult for us to test our therapeutic product candidates in animal models for either safety or efficacy, and any testing that we conduct may not translate to their effects in humans. Moreover, animal models may not exist for some of the targets, diseases or indications that we intend to pursue. Our product candidates may not be able to properly implement desired genetic edits with sufficient accuracy to be viable therapeutic products, and there may be long-term effects associated with them that we cannot predict at this time. Any problems we experience related to the development of our genome editing technology or any of our or our collaborators’ research programs or product candidates may cause significant delays or unanticipated costs, and we may not be able to satisfactorily solve such problems. These factors may prevent us or our collaborators from completing our preclinical studies or any clinical trials that we or our collaborators have ongoing or may initiate, or profitably commercializing any product candidates on a timely basis, or at all. We may also experience delays in developing a sustainable, reproducible and scalable manufacturing process as we develop and prepare to commercialize product candidates. These factors make it more difficult for us to predict the time, cost and potential success of product candidate development. If our product development activities take longer or cost more than anticipated, or if they ultimately are not successful, it would materially adversely affect our business and results of operations.</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42" w:name="page43"/>
    <w:bookmarkEnd w:id="42"/>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genome editing field is relatively new and evolving rapidly, and other existing or future technologies may provide significant advantages over our ARCUS platform, which could materially harm our business.</w:t>
      </w:r>
    </w:p>
    <w:p>
      <w:pPr>
        <w:spacing w:after="0" w:line="15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To date, we have focused our efforts on optimizing our proprietary genome editing technology and exploring its potential applications. ARCUS is a novel genome editing technology using sequence-specific DNA-cutting enzymes, or nucleases, that is designed to perform modifications in the DNA of living cells and organisms. Other companies have previously undertaken research and development of genome editing technologies using zinc finger nucleases, transcription activator-like effector nucleases (“TALENs”) and clustered regularly interspaced short palindromic repeats associated protein-9 nuclease (“CRISPR/Cas9”), although none has obtained marketing approval for a product candidate developed using such technologies. Other genome editing technologies in development or commercially available, or other existing or future technologies, may lead to treatments or products that may be considered better suited for use in human therapeutics, which could reduce or eliminate our commercial opportunity.</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heavily dependent on the successful development and translation of ARCUS, and due to the early stages of our product development operations, we cannot give any assurance that any product candidates will be successfully developed and commercialized.</w:t>
      </w:r>
    </w:p>
    <w:p>
      <w:pPr>
        <w:spacing w:after="0" w:line="15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 xml:space="preserve">We are at an early stage of development of the product candidates currently in our programs and are continuing to develop our ARCUS technology. To date, we have invested substantially all of our efforts and financial resources to develop ARCUS and advance our current product development programs, including conducting preclinical studies, early stage clinical trials and other early research and development activities, and providing general and administrative support for these operations. We are also currently using our ARCUS technology to develop our lead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correction programs targeting PH1, PCSK9, HBV and DMD. Our future success is dependent on our ability to successfully develop and, where applicable, obtain regulatory approval for, including marketing approval for, and then successfully commercialize, product candidates, either alone or with collaborators. We have not yet developed and commercialized any product candidates, and we may not be able to do so, alone or with collaborators.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research and development programs may not lead to the successful identification, development or commercialization of any products.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success of our business depends primarily upon our ability to identify, develop and commercialize products using our genome editing technology. With the exception of our CD19, CD19B and BCMA product candidates, all current product candidates and product development programs are still in the discovery or preclinical stages. We may be unsuccessful in advancing those product candidates into clinical development or in identifying any developing additional product candidates. Our ability to identify and develop product candidates is subject to the numerous risks associated with preclinical and early stage biotechnology development activities, including that:</w:t>
      </w:r>
    </w:p>
    <w:p>
      <w:pPr>
        <w:spacing w:after="0" w:line="75" w:lineRule="exact"/>
        <w:rPr>
          <w:sz w:val="20"/>
          <w:szCs w:val="20"/>
          <w:color w:val="auto"/>
        </w:rPr>
      </w:pPr>
    </w:p>
    <w:p>
      <w:pPr>
        <w:ind w:left="740" w:hanging="368"/>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ARCUS may be ineffective in identifying additional product candidates;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assemble sufficient resources to acquire or discover additional product candidates;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enter into collaborative arrangements to facilitate development of product candidates;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be covered by third parties’ patents or other exclusive rights;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pathway for a product candidate may be too complex, expensive or otherwise difficult to navigate successfully; or</w:t>
      </w:r>
    </w:p>
    <w:p>
      <w:pPr>
        <w:spacing w:after="0" w:line="225" w:lineRule="exact"/>
        <w:rPr>
          <w:rFonts w:ascii="Times New Roman" w:cs="Times New Roman" w:eastAsia="Times New Roman" w:hAnsi="Times New Roman"/>
          <w:sz w:val="18"/>
          <w:szCs w:val="18"/>
          <w:color w:val="auto"/>
        </w:rPr>
      </w:pPr>
    </w:p>
    <w:p>
      <w:pPr>
        <w:ind w:left="740" w:right="460" w:hanging="368"/>
        <w:spacing w:after="0" w:line="266" w:lineRule="auto"/>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be shown to not be effective, have harmful side effects or otherwise pose risks not outweighed by such product candidate’s benefits or have other characteristics that may make the products impractical to manufacture, unlikely to receive any required marketing approval, unlikely to generate sufficient market demand or otherwise not achieve profitable commercialization.</w:t>
      </w:r>
    </w:p>
    <w:p>
      <w:pPr>
        <w:spacing w:after="0" w:line="28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product candidates currently being investigated in clinical trials, or that are expected to be investigated in clinical trials, and other product candidates we may identify may never be approved. Failure to successfully identify and develop new product candidates and obtain regulatory approvals for our products would have a material adverse effect on our business and financial condition and could cause us to cease operations.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2" w:right="359" w:bottom="1440" w:gutter="0" w:footer="0" w:header="0"/>
        </w:sectPr>
      </w:pPr>
    </w:p>
    <w:bookmarkStart w:id="43" w:name="page44"/>
    <w:bookmarkEnd w:id="43"/>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 candidates do not achieve projected development milestones or commercialization in the announced or expected timeframes, the further development or commercialization of such product candidates may be delayed, and our business will be harmed.</w:t>
      </w:r>
    </w:p>
    <w:p>
      <w:pPr>
        <w:spacing w:after="0" w:line="15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sometimes estimate, or may in the future estimate, the timing of the accomplishment of various scientific, clinical, manufacturing, regulatory and other product development objectives. These milestones may include our expectations regarding the commencement or completion of scientific studies or clinical trials, the submission of regulatory filings, the receipt of marketing approval or the realization of other commercialization objectives. The achievement of many of these milestones may be outside of our control. All of these milestones are based on a variety of assumptions, including assumptions regarding capital resources, constraints and priorities, progress of and results from development activities, the receipt of key regulatory approvals or actions, and other factors, including without limitation, impacts resulting from the COVID-19 pandemic and its variants, any of which may cause the timing of achievement of the milestones to vary considerably from our estimates. If we or our collaborators fail to achieve announced milestones in the expected timeframes, the commercialization of the product candidates may be delayed, our credibility may be undermined, our business and results of operations may be harmed, and the trading price of our common stock may decline.</w:t>
      </w:r>
    </w:p>
    <w:p>
      <w:pPr>
        <w:spacing w:after="0" w:line="184"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public perception of genome editing may negatively impact the developmental progress or commercial success of products that we develop alone or with collaborators.</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developmental and commercial success of our current product candidates, or any that we develop alone or with collaborators in the future, will depend in part on public acceptance of the use of genome editing technology for the prevention or treatment of human diseases. Adverse public perception of applying genome editing technology for these purposes may negatively impact our ability to raise capital or enter into strategic agreements for the development of product candidates.</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therapeutic product candidates may involve editing the human genome. The commercial success of any such potential therapeutic products, if successfully developed and approved, may be adversely affected by claims that genome editing is unsafe, unethical or immoral. This may lead to unfavorable public perception and the inability of any therapeutic product candidates to gain the acceptance of the public or the medical community. Unfavorable public perceptions may also adversely impact our or our collaborators’ ability to enroll clinical trials for therapeutic product candidates. Moreover, success in commercializing any therapeutic product candidates that receive regulatory approval will depend upon physicians prescribing, and their patients being willing to receive, treatments that involve the use of such product candidates in lieu of, or in addition to, existing treatments with which they are already familiar and for which greater clinical data may be available. Publicity of any adverse events in, or unfavorable results of, preclinical studies or clinical trials for any current or future product candidates, including, without limitation, patient deaths, or with respect to the studies or trials of our competitors or of academic researchers utilizing genome editing technologies, even if not ultimately attributable to our technology or product candidates, could negatively influence public opinion. Negative public perception about the use of genome editing technology in human therapeutics, whether related to our technology or a competitor’s technology, could result in increased governmental regulation, delays in the development and commercialization of product candidates or decreased demand for the resulting products, any of which may have a negative impact on our business and financial condition.</w:t>
      </w:r>
    </w:p>
    <w:p>
      <w:pPr>
        <w:spacing w:after="0" w:line="183"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industries experiencing rapid technological change, and there is a possibility that our competitors may achieve regulatory approval before us or develop product candidates or treatments that are safer or more effective than ours, which may harm our financial condition and our ability to successfully market or commercialize any of our product candidates.</w:t>
      </w:r>
    </w:p>
    <w:p>
      <w:pPr>
        <w:spacing w:after="0" w:line="17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and the genome editing field is characterized by rapidly changing technologies, significant competition and a strong emphasis on intellectual property. We will face competition with respect to our current and future therapeutic product candidates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products.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There are a number of large pharmaceutical and biotechnology companies that currently market and sell products or are pursuing the development of products for the treatment of the disease indications for which we have research programs. Some of these competitive products and therapies are based on scientific approaches that are similar to our approach, and others are based on entirely different approaches. We principally compete with others developing and utilizing genome editing technology in the human health sector, including companies such as Allogene Therapeutics, Inc., Alnylam Pharmaceuticals, Inc., Beam Therapeutics Inc., Caribou Biosciences, Inc., Cellectis S.A., CRISPR Therapeutics AG, Editas Medicine, Inc., Intellia Therapeutics, Inc., Sangamo Therapeutics, Inc., and Verve Therapeutics, Inc. Several companies, including Novartis Pharmaceuticals Corp., Celgene Corp., and Gilead Sciences, Inc. have obtained FDA approval for autologous immunotherapies, and a number of companies, including Cellectis S.A., Allogene Therapeutics and CRISPR Therapeutics AG, are pursuing allogeneic immunotherapies. We expect that our operations focused on developing products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correction will face substantial competition from others focusing on gene therapy treatments,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2" w:right="379" w:bottom="1440" w:gutter="0" w:footer="0" w:header="0"/>
        </w:sectPr>
      </w:pPr>
    </w:p>
    <w:bookmarkStart w:id="44" w:name="page45"/>
    <w:bookmarkEnd w:id="44"/>
    <w:p>
      <w:pPr>
        <w:ind w:right="60"/>
        <w:spacing w:after="0" w:line="266" w:lineRule="auto"/>
        <w:rPr>
          <w:sz w:val="20"/>
          <w:szCs w:val="20"/>
          <w:color w:val="auto"/>
        </w:rPr>
      </w:pPr>
      <w:r>
        <w:rPr>
          <w:rFonts w:ascii="Times New Roman" w:cs="Times New Roman" w:eastAsia="Times New Roman" w:hAnsi="Times New Roman"/>
          <w:sz w:val="18"/>
          <w:szCs w:val="18"/>
          <w:color w:val="auto"/>
        </w:rPr>
        <w:t>especially those that may focus on conditions that our product candidates target. Moreover, any human therapeutics products that we develop alone or with collaborators will compete with existing standards of care for the diseases and conditions that our product candidates target and other types of treatments, such as small molecule, antibody or protein therapies.</w:t>
      </w:r>
    </w:p>
    <w:p>
      <w:pPr>
        <w:spacing w:after="0" w:line="17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Many of our current or potential competitors, either alone or with their collaborators,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we develop alone or with collaborators or that would render any such products obsolete or non-competitive. Our competitors also may obtain FDA or other regulatory approval for their products more rapidly than we or our collaborators may obtain approval for any that we develop, which could result in our competitors establishing a strong market position before we are able to enter the market. Additionally, technologies developed by our competitors may render our product candidates uneconomical or obsolete, and we or our collaborators may not be successful in marketing any product candidates we may develop against competitors. The availability of our competitors’ products could limit the demand, and the price we are able to charge, for any products that we develop alone or with collaborators.</w:t>
      </w:r>
    </w:p>
    <w:p>
      <w:pPr>
        <w:spacing w:after="0" w:line="172"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profitability, if any, will depend in part on our ability and the ability of our collaborators to commercialize any products that we or our collaborators may develop in markets throughout the world. Commercialization of products in various markets could subject us to risks and uncertainties, including:</w:t>
      </w:r>
    </w:p>
    <w:p>
      <w:pPr>
        <w:spacing w:after="0" w:line="175" w:lineRule="exact"/>
        <w:rPr>
          <w:sz w:val="20"/>
          <w:szCs w:val="20"/>
          <w:color w:val="auto"/>
        </w:rPr>
      </w:pPr>
    </w:p>
    <w:p>
      <w:pPr>
        <w:ind w:left="740" w:hanging="368"/>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on a country-by-country basis, the applicable marketing authorization from the competent regulatory authority;</w:t>
      </w:r>
    </w:p>
    <w:p>
      <w:pPr>
        <w:spacing w:after="0" w:line="117" w:lineRule="exact"/>
        <w:rPr>
          <w:rFonts w:ascii="Times New Roman" w:cs="Times New Roman" w:eastAsia="Times New Roman" w:hAnsi="Times New Roman"/>
          <w:sz w:val="18"/>
          <w:szCs w:val="18"/>
          <w:color w:val="auto"/>
        </w:rPr>
      </w:pPr>
    </w:p>
    <w:p>
      <w:pPr>
        <w:ind w:left="740" w:right="160" w:hanging="368"/>
        <w:spacing w:after="0" w:line="282" w:lineRule="auto"/>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regulatory, tax, accounting, labor and other legal requirements in each jurisdiction that we or our collaborators pursue;</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medical practices and customs affecting acceptance in the marketplace;</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controls, trade restrictions or changes in tariffs;</w:t>
      </w:r>
    </w:p>
    <w:p>
      <w:pPr>
        <w:spacing w:after="0" w:line="225" w:lineRule="exact"/>
        <w:rPr>
          <w:rFonts w:ascii="Times New Roman" w:cs="Times New Roman" w:eastAsia="Times New Roman" w:hAnsi="Times New Roman"/>
          <w:sz w:val="18"/>
          <w:szCs w:val="18"/>
          <w:color w:val="auto"/>
        </w:rPr>
      </w:pPr>
    </w:p>
    <w:p>
      <w:pPr>
        <w:ind w:left="740" w:right="500" w:hanging="368"/>
        <w:spacing w:after="0" w:line="282" w:lineRule="auto"/>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political instability in particular foreign economies and markets, or civil unrest or war, such as the current conflict between Russia and Ukraine;</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 and</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33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have limited or no prior experience in these areas, and our collaborators may have limited experience in these areas. Failure to successfully navigate these risks and uncertainties may limit or prevent market penetration for any products that we or our collaborators may develop, which would limit their commercial potential and our revenues.</w:t>
      </w:r>
    </w:p>
    <w:p>
      <w:pPr>
        <w:spacing w:after="0" w:line="172" w:lineRule="exact"/>
        <w:rPr>
          <w:sz w:val="20"/>
          <w:szCs w:val="20"/>
          <w:color w:val="auto"/>
        </w:rPr>
      </w:pPr>
    </w:p>
    <w:p>
      <w:pPr>
        <w:jc w:val="both"/>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products that we develop alone or with collaborators.</w:t>
      </w:r>
    </w:p>
    <w:p>
      <w:pPr>
        <w:spacing w:after="0" w:line="1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and professional indemnity exposure related to the testing in clinical trials of our product candidates. We will face an even greater liability risk if we commercially sell any products that we or our collaborators may develop for human use. Manufacturing defects, errors in product distribution or storage processes, improper administration or application and known or unknown side effects of product usage may result in liability claims against us or third parties with which we have relationships. These actions could include claims resulting from acts by our collaborators, licensees and subcontractors over which we have little or no control.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45" w:name="page46"/>
    <w:bookmarkEnd w:id="45"/>
    <w:p>
      <w:pPr>
        <w:ind w:right="100"/>
        <w:spacing w:after="0" w:line="256" w:lineRule="auto"/>
        <w:rPr>
          <w:sz w:val="20"/>
          <w:szCs w:val="20"/>
          <w:color w:val="auto"/>
        </w:rPr>
      </w:pPr>
      <w:r>
        <w:rPr>
          <w:rFonts w:ascii="Times New Roman" w:cs="Times New Roman" w:eastAsia="Times New Roman" w:hAnsi="Times New Roman"/>
          <w:sz w:val="18"/>
          <w:szCs w:val="18"/>
          <w:color w:val="auto"/>
        </w:rPr>
        <w:t>For example, our liability could be sought by patients participating in clinical trials for potential therapeutic product candidates as a result of unexpected side effects, improper product administration or the deterioration of a patient’s condition, patient injury or even death. Criminal or civil proceedings might be filed against us by patients, regulatory authorities, biopharmaceutical companies and any other third party using or marketing any product candidates or products that we develop alone or with collaborators. On occasion, large judgments have been awarded in class action lawsuits based on products that had unanticipated adverse effects. If we cannot successfully defend ourselves against claims that product candidates or products we develop alone or with collaborators caused harm, we could incur substantial liabilities.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Regardless of merit or eventual outcome, liability claims may result in:</w:t>
      </w:r>
    </w:p>
    <w:p>
      <w:pPr>
        <w:spacing w:after="0" w:line="117" w:lineRule="exact"/>
        <w:rPr>
          <w:sz w:val="20"/>
          <w:szCs w:val="20"/>
          <w:color w:val="auto"/>
        </w:rPr>
      </w:pPr>
    </w:p>
    <w:p>
      <w:pPr>
        <w:ind w:left="740" w:hanging="368"/>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pursuing our strategy;</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termination of clinical trials;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products that we develop alone or with collaborators;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further develop or commercialize any products.</w:t>
      </w:r>
    </w:p>
    <w:p>
      <w:pPr>
        <w:spacing w:after="0" w:line="3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Although the clinical trial process is designed to identify and assess potential side effects, clinical development does not always fully characterize the safety and efficacy profile of a new medicine, and it is always possible that a drug or biologic,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 If any of our product candidates are approved for commercial sale, we will be highly dependent upon consumer perceptions of us and the safety and quality of such products. We could be adversely affected if we are subject to negative publicity associated with illness or other adverse effects resulting from patients’ use or misuse of such products or any similar products distributed by other companies.</w:t>
      </w:r>
    </w:p>
    <w:p>
      <w:pPr>
        <w:spacing w:after="0" w:line="18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Although we maintain product liability insurance coverage, it may not be adequate to cover all liabilities that we may incur. We anticipate that we will need to increase our insurance coverage if we or our collaborators successfully commercialize any products. Insurance coverage is increasingly expensive. We may not be able to maintain insurance coverage at a reasonable cost or in an amount adequate to satisfy any liabilities to which we may become subject.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Risks Related to the Identification, Development and Commercialization of Our Therapeutic Product Candidates</w:t>
      </w:r>
    </w:p>
    <w:p>
      <w:pPr>
        <w:spacing w:after="0" w:line="22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landscape that will apply to development of therapeutic product candidates by us or our collaborators is rigorous, complex, uncertain and subject to change, which could result in delays or termination of development of such product candidates or unexpected costs in obtaining regulatory approvals.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Regulatory requirements governing products created with genome editing technology or involving gene therapy treatment have changed frequently and will likely continue to change in the future. Approvals by one regulatory agency may not be indicative of what any other regulatory agency may require for approval, and there has historically been substantial, and sometimes uncoordinated, overlap in those responsible for regulation of gene therapy products, cell therapy products and other products created with genome editing technology. For example, in the United States, the FDA has established the Office of Tissues and Advanced Therapies within its Center for Biologics Evaluation and Research (“CBER”) to consolidate the review of gene therapy and related products, and the Cellular, Tissues, and Gene Therapies Advisory Committee to advise CBER on its review. Our product candidates will need to meet safety and efficacy standards applicable to any new biologic under the regulatory framework administered by the FDA.</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to the submission of an IND to the FDA, before initiation of a clinical trial in the United States, certain human clinical trials subject to the NIH Guidelines are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46" w:name="page47"/>
    <w:bookmarkEnd w:id="46"/>
    <w:p>
      <w:pPr>
        <w:jc w:val="both"/>
        <w:ind w:right="560"/>
        <w:spacing w:after="0" w:line="289" w:lineRule="auto"/>
        <w:rPr>
          <w:sz w:val="20"/>
          <w:szCs w:val="20"/>
          <w:color w:val="auto"/>
        </w:rPr>
      </w:pPr>
      <w:r>
        <w:rPr>
          <w:rFonts w:ascii="Times New Roman" w:cs="Times New Roman" w:eastAsia="Times New Roman" w:hAnsi="Times New Roman"/>
          <w:sz w:val="17"/>
          <w:szCs w:val="17"/>
          <w:color w:val="auto"/>
        </w:rPr>
        <w:t>many companies and other institutions not otherwise subject to the NIH Guidelines voluntarily follow them. We are subject to significant regulatory oversight by the FDA, and in addition to the government regulators, the applicable IBC and IRB of each institution at which we or our collaborators conduct clinical trials of our product candidates, or a central IRB if appropriate, would need to review and approve the proposed clinical trial.</w:t>
      </w:r>
    </w:p>
    <w:p>
      <w:pPr>
        <w:spacing w:after="0" w:line="15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same applies in the EU. The EMA has a Committee for Advanced Therapies (“CAT”) that is responsible for assessing the quality, safety and efficacy of ATMPs. ATMPs include gene therapy medicine, somatic-cell therapy medicines and tissue-engineered medicines. The role of the CAT is to prepare a draft opinion on an application for marketing authorization for a gene therapy medicinal product candidate that is submitted to the EMA. In the EU, the development and evaluation of a gene therapy medicinal product must be considered in the context of the relevant EU guidelines. The EMA may issue new guidelines concerning the development and marketing authorization for gene therapy medicinal products and require that we comply with these new guidelines. Similarly complex regulatory environments exist in other jurisdictions in which we might consider seeking regulatory approvals for our product candidates, further complicating the regulatory landscape. As a result, the procedures and standards applied to gene therapy products and cell therapy products may be applied to any of our gene therapy or genome editing product candidates, but that remains uncertain at this point.</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clinical trial requirements of the FDA, the EMA and other regulatory authorities and the criteria these regulators use to evaluate the safety and efficacy of a product candidate vary substantially according to the type, complexity, novelty and intended use and market of the potential products. The regulatory approval process for product candidates created with novel genome editing technology such as ours can be more lengthy, rigorous and expensive than the process for other better known or more extensively studied product candidates and technologies. Since we are developing novel treatments for diseases in which there is little clinical experience with new endpoints and methodologies, there is heightened risk that the FDA, the EMA or comparable regulatory bodies may not consider the clinical trial endpoints to provide clinically meaningful results, and the resulting clinical data and results may be more difficult to analyze. This may be a particularly significant risk for many of the genetically defined diseases for which we may develop product candidates alone or with collaborators due to small patient populations for those diseases, and designing and executing a rigorous clinical trial with appropriate statistical power is more difficult than with diseases that have larger patient populations. Regulatory agencies administering existing or future regulations or legislation may not allow production and marketing of products utilizing genome editing technology in a timely manner or under technically or commercially feasible conditions. Even if our product candidates obtain required regulatory approvals, such approvals may later be withdrawn as a result of changes in regulations or the interpretation of regulations by applicable regulatory agencies.</w:t>
      </w:r>
    </w:p>
    <w:p>
      <w:pPr>
        <w:spacing w:after="0" w:line="19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Changes in applicable regulatory guidelines may lengthen the regulatory review process for our product candidates, require additional studies or trials, increase development costs, lead to changes in regulatory positions and interpretations, delay or prevent approval and commercialization of such product candidates, or lead to significant post-approval limitations or restrictions. Additionally, adverse developments in clinical trials conducted by others of gene therapy products or products created using genome editing technology, such as products developed through the application of a CRISPR/Cas9 technology, or adverse public perception of the field of genome editing, may cause the FDA, the EMA and other regulatory bodies to revise the requirements for approval of any product candidates we may develop or limit the use of products utilizing genome editing technologies, either of which could materially harm our business. Furthermore, regulatory action or private litigation could result in expenses, delays or other impediments to our research programs or the development or commercialization of current or future product candidates.</w:t>
      </w:r>
    </w:p>
    <w:p>
      <w:pPr>
        <w:spacing w:after="0" w:line="19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we advance product candidates alone or with collaborators, we will be required to consult with these regulatory and advisory groups and comply with all applicable guidelines, rules and regulations. If we fail to do so, we or our collaborators may be required to delay or terminate development of such product candidates. Delay or failure to obtain, or unexpected costs in obtaining, the regulatory approval necessary to bring a product candidate to market could decrease our ability to generate sufficient product revenue to maintain our business.</w:t>
      </w:r>
    </w:p>
    <w:p>
      <w:pPr>
        <w:spacing w:after="0" w:line="17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submit INDs to the FDA or CTAs to comparable foreign authorities to commence additional clinical trials on the timelines we expect, and even if we are able to, the FDA or comparable foreign authorities may not permit us to proceed.</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We plan to submit INDs and CTAs to enable us to conduct clinical trials for additional product candidates in the future, and we expect to file IND amendments to enable us to conduct additional clinical trials under existing INDs. We cannot be sure that submission of an IND, CTA, or IND amendment will result in us being allowed to proceed with clinical trials, or that, once begun, issues will not arise that could result in the suspension or termination such clinical trials. The manufacturing of allogeneic CAR T cell therapy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therapies for genetic and infectious diseases remains an emerging and evolving field. Accordingly, we expect CMC related topics, including product specifications, will be a focus of IND and CTA reviews, which may delay receipt of authorization to proceed under INDs and CTAs. Additionally, even if such regulatory authorities agree with the design and implementation of the clinical trials set forth in an IND or CTA, we cannot guarantee that such regulatory authorities will not change their requirements in the future. Similar risks may exist in foreign jurisdictions where we intend to conduct clinical trials.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47" w:name="page48"/>
    <w:bookmarkEnd w:id="47"/>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15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and any collaborators are not permitted to commercialize, market, promote or sell any product candidate in the United States without obtaining marketing approval from the FDA. Foreign regulatory authorities impose similar requirements. The time required to obtain approval by the FDA and comparable foreign authorities is unpredictable, but typically takes many years following the commencement of clinical trials and depends upon numerous factors, including substantial discretion of the regulatory authorities and sufficient resources at the FDA or foreign regulatory authorities. In addition, approval policies, regulations or the type and amount of clinical data necessary to gain approval may change during the course of a product candidate’s clinical development and may vary among jurisdictions. To date, we have not submitted a BLA or other marketing authorization application to the FDA or similar drug approval submissions to comparable foreign regulatory authorities for any product candidate. We and any collaborators must complete additional preclinical or nonclinical studies and clinical trials to demonstrate the safety and efficacy of our product candidates in humans to the satisfaction of the regulatory authorities before we will be able to obtain these approvals.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740" w:hanging="368"/>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or our collaborators’ clinical trials;</w:t>
      </w:r>
    </w:p>
    <w:p>
      <w:pPr>
        <w:spacing w:after="0" w:line="225" w:lineRule="exact"/>
        <w:rPr>
          <w:rFonts w:ascii="Times New Roman" w:cs="Times New Roman" w:eastAsia="Times New Roman" w:hAnsi="Times New Roman"/>
          <w:sz w:val="18"/>
          <w:szCs w:val="18"/>
          <w:color w:val="auto"/>
        </w:rPr>
      </w:pPr>
    </w:p>
    <w:p>
      <w:pPr>
        <w:ind w:left="740" w:right="180" w:hanging="368"/>
        <w:spacing w:after="0" w:line="282"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unable to demonstrate to the satisfaction of the FDA or comparable foreign regulatory authorities that a product candidate is safe and effective for its proposed indication;</w:t>
      </w:r>
    </w:p>
    <w:p>
      <w:pPr>
        <w:spacing w:after="0" w:line="161" w:lineRule="exact"/>
        <w:rPr>
          <w:rFonts w:ascii="Times New Roman" w:cs="Times New Roman" w:eastAsia="Times New Roman" w:hAnsi="Times New Roman"/>
          <w:sz w:val="18"/>
          <w:szCs w:val="18"/>
          <w:color w:val="auto"/>
        </w:rPr>
      </w:pPr>
    </w:p>
    <w:p>
      <w:pPr>
        <w:ind w:left="740" w:right="60" w:hanging="368"/>
        <w:spacing w:after="0" w:line="282"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unable to demonstrate that a product candidate’s clinical and other benefits outweigh its safety risks;</w:t>
      </w:r>
    </w:p>
    <w:p>
      <w:pPr>
        <w:spacing w:after="0" w:line="225" w:lineRule="exact"/>
        <w:rPr>
          <w:rFonts w:ascii="Times New Roman" w:cs="Times New Roman" w:eastAsia="Times New Roman" w:hAnsi="Times New Roman"/>
          <w:sz w:val="18"/>
          <w:szCs w:val="18"/>
          <w:color w:val="auto"/>
        </w:rPr>
      </w:pPr>
    </w:p>
    <w:p>
      <w:pPr>
        <w:ind w:left="740" w:right="180" w:hanging="368"/>
        <w:spacing w:after="0" w:line="282"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or our collaborators’ interpretation of data from preclinical studies or clinical trials;</w:t>
      </w:r>
    </w:p>
    <w:p>
      <w:pPr>
        <w:spacing w:after="0" w:line="161" w:lineRule="exact"/>
        <w:rPr>
          <w:rFonts w:ascii="Times New Roman" w:cs="Times New Roman" w:eastAsia="Times New Roman" w:hAnsi="Times New Roman"/>
          <w:sz w:val="18"/>
          <w:szCs w:val="18"/>
          <w:color w:val="auto"/>
        </w:rPr>
      </w:pPr>
    </w:p>
    <w:p>
      <w:pPr>
        <w:ind w:left="740" w:right="260" w:hanging="368"/>
        <w:spacing w:after="0" w:line="282"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product candidates may not be sufficient to support the submission of a BLA or other submission or to obtain regulatory approval in the United States or elsewhere;</w:t>
      </w:r>
    </w:p>
    <w:p>
      <w:pPr>
        <w:spacing w:after="0" w:line="161" w:lineRule="exact"/>
        <w:rPr>
          <w:rFonts w:ascii="Times New Roman" w:cs="Times New Roman" w:eastAsia="Times New Roman" w:hAnsi="Times New Roman"/>
          <w:sz w:val="18"/>
          <w:szCs w:val="18"/>
          <w:color w:val="auto"/>
        </w:rPr>
      </w:pPr>
    </w:p>
    <w:p>
      <w:pPr>
        <w:ind w:left="740" w:right="600" w:hanging="368"/>
        <w:spacing w:after="0" w:line="282"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our manufacturing processes or facilities or those of third-party manufacturers with which we or our collaborators contract for clinical and commercial supplies;</w:t>
      </w:r>
    </w:p>
    <w:p>
      <w:pPr>
        <w:spacing w:after="0" w:line="161" w:lineRule="exact"/>
        <w:rPr>
          <w:rFonts w:ascii="Times New Roman" w:cs="Times New Roman" w:eastAsia="Times New Roman" w:hAnsi="Times New Roman"/>
          <w:sz w:val="18"/>
          <w:szCs w:val="18"/>
          <w:color w:val="auto"/>
        </w:rPr>
      </w:pPr>
    </w:p>
    <w:p>
      <w:pPr>
        <w:ind w:left="740" w:right="480" w:hanging="368"/>
        <w:spacing w:after="0" w:line="282"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companion diagnostics we may contemplate developing with collaborators; and</w:t>
      </w:r>
    </w:p>
    <w:p>
      <w:pPr>
        <w:spacing w:after="0" w:line="161" w:lineRule="exact"/>
        <w:rPr>
          <w:rFonts w:ascii="Times New Roman" w:cs="Times New Roman" w:eastAsia="Times New Roman" w:hAnsi="Times New Roman"/>
          <w:sz w:val="18"/>
          <w:szCs w:val="18"/>
          <w:color w:val="auto"/>
        </w:rPr>
      </w:pPr>
    </w:p>
    <w:p>
      <w:pPr>
        <w:ind w:left="740" w:right="100" w:hanging="368"/>
        <w:spacing w:after="0" w:line="282"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or our collaborators’ clinical data insufficient for approval.</w:t>
      </w:r>
    </w:p>
    <w:p>
      <w:pPr>
        <w:spacing w:after="0" w:line="27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may impose significant limitations in the form of narrow indications, warnings, or a REMS or similar risk management measures. Regulatory authorities may not approve the price we or our collaborators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48" w:name="page49"/>
    <w:bookmarkEnd w:id="48"/>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difficult to design and implement, expensive, time-consuming and involve an uncertain outcome, and the inability to successfully and timely conduct clinical trials and obtain regulatory approval for our product candidates would substantially harm our business.</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Clinical testing is expensive and usually takes many years to complete, and its outcome is inherently uncertain. Failure can occur at any time during the clinical trial process, and product candidates in later stages of clinical trials may fail to show the desired safety and efficacy traits despite having progressed through preclinical studies and initial clinical trials. We have initiated a Phase 1/2a clinical trial in patients with R/R NHL or R/R B-ALL, a Phase 1 clinical trial in patients with NHL and a Phase 1/2a clinical trial in subjects with R/R multiple myeloma. We do not know whether any current or planned clinical trials will need to be redesigned, recruit and enroll patients on time or be completed on schedule, or at all. Clinical trials have been and may in the future be delayed, suspended or terminated for a variety of reasons, including in connection with:</w:t>
      </w:r>
    </w:p>
    <w:p>
      <w:pPr>
        <w:spacing w:after="0" w:line="77" w:lineRule="exact"/>
        <w:rPr>
          <w:sz w:val="20"/>
          <w:szCs w:val="20"/>
          <w:color w:val="auto"/>
        </w:rPr>
      </w:pPr>
    </w:p>
    <w:p>
      <w:pPr>
        <w:ind w:left="740" w:hanging="368"/>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of clinical trials;</w:t>
      </w:r>
    </w:p>
    <w:p>
      <w:pPr>
        <w:spacing w:after="0" w:line="22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regulatory authorities disagreeing as to the design or implementation of the clinical trials;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authorization to commence a trial;</w:t>
      </w:r>
    </w:p>
    <w:p>
      <w:pPr>
        <w:spacing w:after="0" w:line="225" w:lineRule="exact"/>
        <w:rPr>
          <w:rFonts w:ascii="Times New Roman" w:cs="Times New Roman" w:eastAsia="Times New Roman" w:hAnsi="Times New Roman"/>
          <w:sz w:val="18"/>
          <w:szCs w:val="18"/>
          <w:color w:val="auto"/>
        </w:rPr>
      </w:pPr>
    </w:p>
    <w:p>
      <w:pPr>
        <w:ind w:left="740" w:right="80" w:hanging="368"/>
        <w:spacing w:after="0" w:line="282" w:lineRule="auto"/>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reaching an agreement on acceptable terms with prospective contract research organizations (“CROs”) and clinical trial sites, the terms of which can be subject to extensive negotiation and may vary significantly among different CROs and trial sites;</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IRB or ethics committee approval at each site;</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validating the companion diagnostic to be used in a clinical trial, if applicable;</w:t>
      </w:r>
    </w:p>
    <w:p>
      <w:pPr>
        <w:spacing w:after="0" w:line="225" w:lineRule="exact"/>
        <w:rPr>
          <w:rFonts w:ascii="Times New Roman" w:cs="Times New Roman" w:eastAsia="Times New Roman" w:hAnsi="Times New Roman"/>
          <w:sz w:val="18"/>
          <w:szCs w:val="18"/>
          <w:color w:val="auto"/>
        </w:rPr>
      </w:pPr>
    </w:p>
    <w:p>
      <w:pPr>
        <w:ind w:left="740" w:hanging="368"/>
        <w:spacing w:after="0" w:line="266" w:lineRule="auto"/>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or inadequate supply or quality of product candidates or other materials, including identification of lymphocyte donors meeting regulatory standards necessary for use in clinical trials, or delays in sufficiently developing, characterizing or controlling a manufacturing process suitable for clinical trials;</w:t>
      </w:r>
    </w:p>
    <w:p>
      <w:pPr>
        <w:spacing w:after="0" w:line="17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and retaining enough suitable patients to participate in a trial;</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enough patients complete a trial or return for post-treatment follow-up;</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a sufficient number of clinical trial sites;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inspections of clinical trial sites or operations by applicable regulatory authorities, or the imposition of a clinical hold;</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demonstrate the efficacy and benefits of a product candidate;</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discovering that product candidates have unforeseen safety issues, undesirable side effects or other unexpected characteristics;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patient safety concerns that arise during the course of a trial;</w:t>
      </w:r>
    </w:p>
    <w:p>
      <w:pPr>
        <w:spacing w:after="0" w:line="225" w:lineRule="exact"/>
        <w:rPr>
          <w:rFonts w:ascii="Times New Roman" w:cs="Times New Roman" w:eastAsia="Times New Roman" w:hAnsi="Times New Roman"/>
          <w:sz w:val="18"/>
          <w:szCs w:val="18"/>
          <w:color w:val="auto"/>
        </w:rPr>
      </w:pPr>
    </w:p>
    <w:p>
      <w:pPr>
        <w:ind w:left="740" w:right="240" w:hanging="368"/>
        <w:spacing w:after="0" w:line="282" w:lineRule="auto"/>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untimely or unfavorable feedback from applicable regulatory authorities regarding the trial or requests from regulatory authorities to modify the design of a trial;</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applicable regulatory requirements by us or third parties or changes in such regulations or administrative actions;</w:t>
      </w:r>
    </w:p>
    <w:p>
      <w:pPr>
        <w:spacing w:after="0" w:line="225" w:lineRule="exact"/>
        <w:rPr>
          <w:rFonts w:ascii="Times New Roman" w:cs="Times New Roman" w:eastAsia="Times New Roman" w:hAnsi="Times New Roman"/>
          <w:sz w:val="18"/>
          <w:szCs w:val="18"/>
          <w:color w:val="auto"/>
        </w:rPr>
      </w:pPr>
    </w:p>
    <w:p>
      <w:pPr>
        <w:ind w:left="740" w:hanging="368"/>
        <w:spacing w:after="0" w:line="282" w:lineRule="auto"/>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suspensions or terminations by IRBs of the institutions at which such trials are being conducted, by the Data Safety Monitoring Board (“DSMB”) for such trial or by the FDA or other regulatory authorities due to a number of factors, including those described above;</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being unable or unwilling to satisfy their contractual obligations to us;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priorities, greater than anticipated costs of completing a trial or our inability to continue funding the trial; or</w:t>
      </w:r>
    </w:p>
    <w:p>
      <w:pPr>
        <w:spacing w:after="0" w:line="225" w:lineRule="exact"/>
        <w:rPr>
          <w:rFonts w:ascii="Times New Roman" w:cs="Times New Roman" w:eastAsia="Times New Roman" w:hAnsi="Times New Roman"/>
          <w:sz w:val="18"/>
          <w:szCs w:val="18"/>
          <w:color w:val="auto"/>
        </w:rPr>
      </w:pPr>
    </w:p>
    <w:p>
      <w:pPr>
        <w:ind w:left="740" w:right="40" w:hanging="368"/>
        <w:spacing w:after="0" w:line="282" w:lineRule="auto"/>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events, such as natural or manmade disasters, public health emergencies, such as the COVID-19 pandemic and its variants, which has and may continue to impact our operations, or other natural catastrophic events.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2" w:right="359" w:bottom="1440" w:gutter="0" w:footer="0" w:header="0"/>
        </w:sectPr>
      </w:pPr>
    </w:p>
    <w:bookmarkStart w:id="49" w:name="page50"/>
    <w:bookmarkEnd w:id="49"/>
    <w:p>
      <w:pPr>
        <w:spacing w:after="0" w:line="254" w:lineRule="auto"/>
        <w:rPr>
          <w:sz w:val="20"/>
          <w:szCs w:val="20"/>
          <w:color w:val="auto"/>
        </w:rPr>
      </w:pPr>
      <w:r>
        <w:rPr>
          <w:rFonts w:ascii="Times New Roman" w:cs="Times New Roman" w:eastAsia="Times New Roman" w:hAnsi="Times New Roman"/>
          <w:sz w:val="18"/>
          <w:szCs w:val="18"/>
          <w:color w:val="auto"/>
        </w:rPr>
        <w:t>Many of the factors that cause, or lead to, a delay in the commencement or completion of clinical trials may also ultimately lead to the denial of regulatory approval of our product candidates. Additionally, we or our collaborators may experience unforeseen events during or resulting from clinical trials that could delay or prevent receipt of marketing approval for or commercialization of product candidates. For example, clinical trials of product candidates may produce negative, inconsistent or inconclusive results, and we may decide, or regulators may require us, to conduct additional clinical trials or abandon development programs. Regulators may also revise the requirements for approving the product candidates, or such requirements may not be as we anticipate. If we or our collaborators are required to conduct additional clinical trials or other testing of product candidates beyond those that we or our collaborators currently contemplate, if we or our collaborators are unable to successfully complete clinical trials or other testing of such product candidates, if the results of these trials or tests are not positive or are only modestly positive or if there are safety concerns, we may:</w:t>
      </w:r>
    </w:p>
    <w:p>
      <w:pPr>
        <w:spacing w:after="0" w:line="84" w:lineRule="exact"/>
        <w:rPr>
          <w:sz w:val="20"/>
          <w:szCs w:val="20"/>
          <w:color w:val="auto"/>
        </w:rPr>
      </w:pPr>
    </w:p>
    <w:p>
      <w:pPr>
        <w:ind w:left="740" w:hanging="368"/>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unplanned costs;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or fail to obtain marketing approval for product candidates;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for indications or patient populations that are not as broad as intended or desired;</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with labeling that includes significant use or distribution restrictions or safety warnings, including boxed warnings;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the product is administered;</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product or impose restrictions on its distribution;</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or</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33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we or our collaborators experience delays in the commencement or completion of our clinical trials, or if we or our collaborators terminate a clinical trial prior to completion, we may experience increased costs, have difficulty raising capital and/or be required to slow down the development and approval process timelines. Furthermore, the product candidates that are the subject of such trials may never receive regulatory approval, and their commercial prospects and our ability to generate product revenues from them could be impaired or not realized at all.</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CTR which was adopted in April 2014 and repeals the EU Clinical Trials Directive, became applicable on January 31, 2022. While the Clinical Trials Directive required a separate CTA to be submitted in each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For clinical trials whose CTA was made under the Clinical Trials Directive before January 31, 2022, the Clinical Trials Directive will continue to apply on a transitional basis for three years. Additionally, sponsors may still choose to submit a CTA under either the Clinical Trials Directive or the CTR until January 31, 2023 and, if authorized, those will be governed by the Clinical Trials Directive until January 31, 2025. By that date, all ongoing trials will become subject to the provisions of the CTR.</w:t>
      </w:r>
    </w:p>
    <w:p>
      <w:pPr>
        <w:spacing w:after="0" w:line="18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It is currently unclear to what extent the UK will seek to align its regulations with the EU. The UK regulatory framework in relation to clinical trials is derived from existing EU legislation (as implemented into UK law, through secondary legislation).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50" w:name="page51"/>
    <w:bookmarkEnd w:id="50"/>
    <w:p>
      <w:pPr>
        <w:ind w:right="120"/>
        <w:spacing w:after="0" w:line="274" w:lineRule="auto"/>
        <w:rPr>
          <w:sz w:val="20"/>
          <w:szCs w:val="20"/>
          <w:color w:val="auto"/>
        </w:rPr>
      </w:pPr>
      <w:r>
        <w:rPr>
          <w:rFonts w:ascii="Times New Roman" w:cs="Times New Roman" w:eastAsia="Times New Roman" w:hAnsi="Times New Roman"/>
          <w:sz w:val="17"/>
          <w:szCs w:val="17"/>
          <w:color w:val="auto"/>
        </w:rPr>
        <w:t>On January 17, 2022, the UK MHRA launched an eight-week consultation on reframing the UK legislation for clinical trials. The consultation closed on March 14, 2022 and aims to streamline clinical trials approvals, enable innovation, enhance clinical trials transparency, enable greater risk proportionality, and promote patient and public involvement in clinical trials. The outcome of the consultation will be closely watched and will determine whether the UK chooses to align with the regulation or diverge from it to maintain regulatory flexibility. A decision by the UK not to closely align its regulations with the new approach that will be adopted in the EU may have an effect on the cost of conducting clinical trials in the UK as opposed to other countries and/or make it harder to seek a marketing authorization in the EU for our product candidates on the basis of clinical trials conducted in the UK.</w:t>
      </w:r>
    </w:p>
    <w:p>
      <w:pPr>
        <w:spacing w:after="0" w:line="173"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also be impacted.</w:t>
      </w:r>
    </w:p>
    <w:p>
      <w:pPr>
        <w:spacing w:after="0" w:line="158" w:lineRule="exact"/>
        <w:rPr>
          <w:sz w:val="20"/>
          <w:szCs w:val="20"/>
          <w:color w:val="auto"/>
        </w:rPr>
      </w:pPr>
    </w:p>
    <w:p>
      <w:pPr>
        <w:ind w:right="1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Any product candidates that we or our collaborators may develop will be novel and may be complex and difficult to manufacture, and if we experience manufacturing problems, it could result in delays in development and commercialization of such product candidates or otherwise harm our business.</w:t>
      </w:r>
    </w:p>
    <w:p>
      <w:pPr>
        <w:spacing w:after="0" w:line="13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product candidates involve or will involve novel genome editing technology and will require processing steps that are more complex than those required for most small molecule drugs, resulting in a relatively higher manufacturing cost. Moreover, unlike small molecules, the physical and chemical properties of biologics generally cannot be fully characterized. As a result, assays of the finished product may not be sufficient to ensure that such product will perform in the intended manner. Although we intend to employ multiple steps to control the manufacturing process, we may experience manufacturing issues with any of our product candidates that could cause production interruptions, including contamination, equipment or reagent failure, improper installation or operation of equipment, facility contamination, raw material shortages or contamination, natural disasters, disruption in utility services, human error, disruptions in the operations of our suppliers, inconsistency in cell growth and variability in product characteristics. We may encounter problems achieving adequate quantities and quality of clinical-grade materials that meet FDA, EMA or other comparable applicable standards or specifications with consistent and acceptable production yields and costs. For example, the FDA has required us to conduct testing of our allogeneic CAR T cell product candidates for the presence of certain human viruses prior to release of such products for clinical use. If the FDA concludes that further such viral testing of our product candidates is required and that any lots testing positive may not be used in clinical trials, we may need to produce new clinical trial materials, which could delay our clinical trials and result in higher manufacturing costs. Even minor deviations from normal manufacturing processes could result in reduced production yields, product defects and other supply disruptions. If microbial, viral or other contaminations are discovered in our product candidates or in the manufacturing facilities in which such product candidates are made, such manufacturing facilities may need to be closed for an extended period of time to investigate and remedy the contamination. Our manufacturing process for any allogeneic CAR T cell product candidate that we develop alone or with collaborators will be susceptible to product loss or failure due to the quality of the raw materials, failure of the products to meet specifications, logistical issues associated with the collection of white blood cells, or starting material, from healthy third-party donors, shipping such material to the manufacturing site, ensuring standardized production batch-to-batch in the context of mass production, freezing the manufactured product, shipping the final product globally, thawing and infusing patients with such product. Problems with the manufacturing process, even minor deviations from the normal process, could result in product defects or manufacturing failures that result in lot failures, delays in initiating or completing clinical trials, product recalls, product liability claims or insufficient inventory.</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product candidates are developed through preclinical to late-stage clinical trials towards approval and commercialization, we expect that various aspects of the development program, such as manufacturing methods, may be altered along the way in an effort to help optimize processes and results. Such changes carry the risk that they will not achieve the intended objectives, and any of these changes could cause our product candidates to perform differently and affect the results of future clinical trials or our reliance on results of trials that have previously been conducted using the product candidate in its previous form. If the manufacturing process is changed during the course of product development, we or our collaborators may be required to repeat some or all of the previously conducted trials or conduct additional bridging trials, which could increase our costs and delay or impede our ability to obtain marketing approval.</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expect our manufacturing strategy for one or more of our product candidates may involve the use of contract manufacturing organizations (“CMOs”) as well as our dedicated manufacturing facility, MCAT. The facilities used by us and our contract manufacturers to manufacture therapeutic product candidates must be evaluated for the manufacture of our product candidates by the FDA or foreign regulatory authorities pursuant to inspections that will be conducted after we submit a BLA to the FDA, or similar foreign applications to foreign regulatory authorities. We do not control the manufacturing process of our contract manufacturers and are dependent on their compliance with cGMP or similar foreign requirements for their manufacture of our product candidates. We may establish multiple manufacturing facilities as we expand our commercial footprint to multiple geographies, which will be costly and time consuming and may lead to regulatory delays. Even if we are successful, our manufacturing capabilities could be affected by cost-overruns, potential problems with scale-out, process reproducibility, stability issues, lot inconsistency, timely availability of reagents or raw materials, unexpected delays, equipment failures, labor shortages, natural disasters, utility failures, regulatory issues and other factors that could prevent us from realizing the intended benefits of our manufacturing strategy and have a material adverse effect on our business.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51" w:name="page52"/>
    <w:bookmarkEnd w:id="51"/>
    <w:p>
      <w:pPr>
        <w:ind w:right="40"/>
        <w:spacing w:after="0" w:line="256" w:lineRule="auto"/>
        <w:rPr>
          <w:sz w:val="20"/>
          <w:szCs w:val="20"/>
          <w:color w:val="auto"/>
        </w:rPr>
      </w:pPr>
      <w:r>
        <w:rPr>
          <w:rFonts w:ascii="Times New Roman" w:cs="Times New Roman" w:eastAsia="Times New Roman" w:hAnsi="Times New Roman"/>
          <w:sz w:val="18"/>
          <w:szCs w:val="18"/>
          <w:color w:val="auto"/>
        </w:rPr>
        <w:t>The FDA, the EMA and other foreign regulatory authorities may require us to submit samples of any lot of any product that may receive approval together with the protocols showing the results of applicable tests at any time. Under some circumstances, the FDA, the EMA or other foreign regulatory authorities may require that we not distribute a lot until the relevant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or our collaborators to delay product launches or clinical trials, which could be costly to us and otherwise harm our business. Problems in our manufacturing process also could restrict our or our collaborators’ ability to meet market demand for products.</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Any problems in our manufacturing process or facilities could make us a less attractive collaborator for potential partners, including larger pharmaceutical companies and academic research institutions, which could limit our access to additional attractive development opportunities.</w:t>
      </w:r>
    </w:p>
    <w:p>
      <w:pPr>
        <w:spacing w:after="0" w:line="15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rely on donors of T cells to manufacture product candidates from our allogeneic CAR T immunotherapy platform, and if we do not obtain an adequate supply of T cells from qualified donors, development of those product candidates may be adversely impacted.</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developing a pipeline of allogeneic T cell product candidates that are engineered from healthy donor T cells, which vary in type and quality. This variability in type and quality of a donor’s T cells makes producing standardized product candidates more difficult and makes the development and commercialization pathway of those product candidates more uncertain. We have developed a screening process designed to enhance the quality and consistency of T cells used in the manufacture of our CAR T cell product candidates. If we are unable to identify and obtain T cells from donors that satisfy our criteria in sufficient quantity, to obtain such cells in a timely manner or to address variability in donor T cells, development of our CAR T cell product candidates may be delayed or there may be inconsistencies in the product candidates we produce, which could negatively impact development of such product candidates, harm our reputation and adversely impact our business and prospects.</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achieve operating efficiencies from MCAT may require us to devote additional resources and management time to manufacturing operations and may delay our product development timelines.</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leased approximately 33,800 square feet of space for MCAT at a location approximately seven miles from our headquarters in Durham, North Carolina. We use this manufacturing center to create clinical trial material for certain of our current and planned clinical trials. We may not experience the anticipated operating efficiencies in our own manufacturing. Any delays in manufacturing may disrupt or delay the supply of our product candidates if we have not maintained a sufficient back-up supply of such product candidates through third-party manufacturers. Moreover, changing manufacturing facilities may also require that we or our collaborators conduct additional studies, make notifications to regulatory authorities, make additional filings to regulatory authorities, and obtain regulatory authority approval for the new facilities, which may be delayed or which we may never receive. We are also required to comply with the FDA’s and applicable foreign regulatory authorities’ GMP requirements for the production of product candidates for clinical trials and, if approved, commercial supply, and will be subject to FDA and comparable foreign regulatory authority inspection. These requirements include the qualification and validation of our manufacturing equipment and processes. We may not be able to develop, acquire or maintain the internal expertise and resources necessary for compliance with these requirements. If we fail to achieve the operating efficiencies that we anticipate, our manufacturing and operating costs may be greater than expected, which could have a material adverse impact on our operating results.</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may encounter problems hiring and retaining the experienced scientific, quality-control and manufacturing personnel needed to operate our manufacturing processes. If we experience unanticipated employee shortage or turnover in any of these areas, we may not be able to effectively manage our ongoing manufacturing operations and we may not achieve the operating efficiencies that we anticipate from MCAT, which may negatively affect our product development timeline or result in difficulties in maintaining compliance with applicable regulatory requirements.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problems could result in the delay, prevention or impairment of clinical development and commercialization of our product candidates.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delays or difficulties in our or our collaborators ability to enroll patients in clinical trials, could delay or prevent receipt of regulatory approvals.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or our collaborators may not be able to initiate or continue clinical trials on a timely basis or at all for any product candidates we or our collaborators identify or develop if we or our collaborators are unable to locate and enroll a sufficient number of eligible patients to participate in the trials as required by applicable regulations or as needed to provide appropriate statistical power for a given trial. Additionally, some of our competitors may have ongoing clinical trials for product candidates that would treat the same indications as one or more of our product candidates, and patients who would otherwise be eligible for our clinical trials may instead enroll in our competitors’ clinical trials.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Patient enrollment may also be affected by many factors, including:</w:t>
      </w:r>
    </w:p>
    <w:p>
      <w:pPr>
        <w:spacing w:after="0" w:line="117" w:lineRule="exact"/>
        <w:rPr>
          <w:sz w:val="20"/>
          <w:szCs w:val="20"/>
          <w:color w:val="auto"/>
        </w:rPr>
      </w:pPr>
    </w:p>
    <w:p>
      <w:pPr>
        <w:ind w:left="740" w:hanging="368"/>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and difficulty of diagnosing of the disease under investigation;</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in recruiting and/or identifying eligible patients suffering from rare diseases being evaluated under our trials;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the patient population and process for identifying subjects;</w:t>
      </w:r>
    </w:p>
    <w:p>
      <w:pPr>
        <w:spacing w:after="0" w:line="225" w:lineRule="exact"/>
        <w:rPr>
          <w:rFonts w:ascii="Times New Roman" w:cs="Times New Roman" w:eastAsia="Times New Roman" w:hAnsi="Times New Roman"/>
          <w:sz w:val="18"/>
          <w:szCs w:val="18"/>
          <w:color w:val="auto"/>
        </w:rPr>
      </w:pPr>
    </w:p>
    <w:p>
      <w:pPr>
        <w:ind w:left="740" w:right="200" w:hanging="368"/>
        <w:spacing w:after="0" w:line="282" w:lineRule="auto"/>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exclusion criteria for the trial in question, including unforeseen requirements by the FDA or other regulatory authorities that we restrict one or more entry criteria for the study for safety reasons;</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collaborators’ ability to recruit clinical trial investigators with the appropriate competencies and experience;</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trial protocol;</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medications or therapies, or other clinical trials, for the disease or condition under investigation;</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trial or testing, or of the application of genome editing to human indications;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genetic testing for potential patients;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subject consent;</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subjects will drop out before completion of the trial;</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patients adequately during and after treatment;</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 and</w:t>
      </w:r>
    </w:p>
    <w:p>
      <w:pPr>
        <w:spacing w:after="0" w:line="225" w:lineRule="exact"/>
        <w:rPr>
          <w:rFonts w:ascii="Times New Roman" w:cs="Times New Roman" w:eastAsia="Times New Roman" w:hAnsi="Times New Roman"/>
          <w:sz w:val="18"/>
          <w:szCs w:val="18"/>
          <w:color w:val="auto"/>
        </w:rPr>
      </w:pPr>
    </w:p>
    <w:p>
      <w:pPr>
        <w:ind w:left="740" w:right="40" w:hanging="368"/>
        <w:spacing w:after="0" w:line="282" w:lineRule="auto"/>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events, such as natural or manmade disasters, public health emergencies, such as the COVID-19 pandemic and its variants which has and may continue to impact our operations, or other natural catastrophic events.</w:t>
      </w:r>
    </w:p>
    <w:p>
      <w:pPr>
        <w:spacing w:after="0" w:line="27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expect that some of our product candidates will focus on rare genetically defined diseases with limited patient pools from which to draw for enrollment in clinical trials. The eligibility criteria of our clinical trials will further limit the pool of available trial participants. In addition to the factors identified above, patient enrollment in any clinical trials we or our collaborators may conduct may be adversely impacted by any negative outcomes our competitors may experience, including adverse side effects, clinical data showing inadequate efficacy or failures to obtain regulatory approval.</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Furthermore, our or our collaborators’ ability to successfully initiate, enroll and conduct a clinical trial outside the United States is subject to numerous additional risks, including:</w:t>
      </w:r>
    </w:p>
    <w:p>
      <w:pPr>
        <w:spacing w:after="0" w:line="54" w:lineRule="exact"/>
        <w:rPr>
          <w:sz w:val="20"/>
          <w:szCs w:val="20"/>
          <w:color w:val="auto"/>
        </w:rPr>
      </w:pPr>
    </w:p>
    <w:p>
      <w:pPr>
        <w:ind w:left="740" w:hanging="368"/>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or managing relationships with CROs and physicians;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standards for the conduct of clinical trials;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standards of care for patients with a particular disease;</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locate qualified local consultants, physicians and partners; and</w:t>
      </w:r>
    </w:p>
    <w:p>
      <w:pPr>
        <w:spacing w:after="0" w:line="225" w:lineRule="exact"/>
        <w:rPr>
          <w:rFonts w:ascii="Times New Roman" w:cs="Times New Roman" w:eastAsia="Times New Roman" w:hAnsi="Times New Roman"/>
          <w:sz w:val="18"/>
          <w:szCs w:val="18"/>
          <w:color w:val="auto"/>
        </w:rPr>
      </w:pPr>
    </w:p>
    <w:p>
      <w:pPr>
        <w:ind w:left="740" w:right="360" w:hanging="368"/>
        <w:spacing w:after="0" w:line="282" w:lineRule="auto"/>
        <w:tabs>
          <w:tab w:leader="none" w:pos="7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burden of complying with a variety of foreign laws, medical standards and regulatory requirements, including the regulation of pharmaceutical and biotechnology products and treatments.</w:t>
      </w:r>
    </w:p>
    <w:p>
      <w:pPr>
        <w:spacing w:after="0" w:line="27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Enrollment delays in clinical trials, including those due to the COVID-19 pandemic and its variants, may result in increased development costs for any of our product candidates, which may cause the value of our company to decline and limit our ability to obtain additional financing. If we or our collaborators have difficulty enrolling a sufficient number of patients to conduct clinical trials as planned, we may need to delay, limit or terminate ongoing or planned clinical trials, any of which may have an adverse effect on our results of operations and prospects.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86" w:right="399" w:bottom="1440" w:gutter="0" w:footer="0" w:header="0"/>
        </w:sectPr>
      </w:pPr>
    </w:p>
    <w:bookmarkStart w:id="53" w:name="page54"/>
    <w:bookmarkEnd w:id="53"/>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Results of preclinical studies and early clinical trials of product candidates may not be predictive of results of later studies or trials. Our product candidates may not have favorable results in later clinical trials, if any, or receive regulatory approval.</w:t>
      </w:r>
    </w:p>
    <w:p>
      <w:pPr>
        <w:spacing w:after="0" w:line="15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Preclinical and clinical drug development is expensive and can take many years to complete, and its outcome is inherently uncertain. Failure can occur at any time during the preclinical study or clinical trial process. Despite promising preclinical or clinical results, any product candidate can unexpectedly fail at any stage of preclinical or clinical development. The historical failure rate for product candidates in our industry is high.</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results from preclinical studies or early clinical trials of a product candidate may not be predictive of the results from later preclinical studies or clinical trials, and interim results of a clinical trial are not necessarily indicative of final results. Product candidates in later stages of clinical trials may fail to show the desired safety and efficacy characteristics despite having progressed through preclinical studies and initial clinical trials. Many companies in the biopharmaceutical and biotechnology industries have suffered significant setbacks at later stages of development after achieving positive results in early stages of development, and we may face similar setbacks. These setbacks have been caused by, among other things, preclinical findings made while clinical trials were underway or safety or efficacy observations made in clinical trials, including previously unreported adverse events. Moreover, non-clinical and clinical data are often susceptible to varying interpretations and analyses, and many companies that believed their product candidates performed satisfactorily in preclinical studies and clinical trials nonetheless failed to obtain regulatory approval. With the exception of our allogeneic anti-CD19, anti-CD20 and anti-BCMA CAR T product candidates, which have undergone limited testing in humans to date, our gene editing technology and our product candidates have never undergone testing in humans and have only been tested in a limited manner in animals, and results from animal studies may not be predictive of clinical trial results. Even if product candidates progress to clinical trials, these product candidates may fail to show the safety and efficacy in clinical development required to obtain regulatory approval, despite the observation of positive results in animal studies. Our or our collaborators’ failure to replicate positive results from early research programs and preclinical studies may prevent us from further developing and commercializing those or other product candidates, which would limit our potential to generate revenues from them and harm our business and prospects.</w:t>
      </w:r>
    </w:p>
    <w:p>
      <w:pPr>
        <w:spacing w:after="0" w:line="19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For the foregoing reasons, we cannot be certain that any ongoing or future preclinical studies or clinical trials will be successful. Any safety or efficacy concerns observed in any one of our preclinical studies or clinical trials in a targeted area could limit the prospects for regulatory approval of product candidates in that and other areas, which could have a material adverse effect on our business and prospects.</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initial data from studies or trials that we announce or publish from time to time may change as more data become available and are subject to audit and verification procedures that could result in material changes in the final data.</w:t>
      </w:r>
    </w:p>
    <w:p>
      <w:pPr>
        <w:spacing w:after="0" w:line="15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From time to time, we may publish interim, initial or “top-line” data from preclinical studies or clinical trials, which is based on a preliminary analysis of then-available data, and the results and related findings and conclusions are subject to change following a more comprehensive review of the data related to the particular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Initial or “top-line” data also remain subject to audit and verification procedures that may result in the final data being materially different from these initial data we previously published. As a result, interim, initial and “top-line” data should be viewed with caution until the final data are available.</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Additionally, interim data from clinical trials that we may complete are subject to the risk that one or more of the clinical outcomes may materially change as patient enrollment continues and more patient data become available. Adverse differences between initial or interim data and final data could significantly harm our business prospects.</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significant by you or others with respect to future decisions, conclusions, views, activities or otherwise regarding a particular product candidate or our business. If the top-line data that we report differ from actual results, or if others, including regulatory authorities, disagree with the conclusions reached, our ability to obtain approval for, and commercialize, product candidates may be harmed, which could significantly harm our business prospects.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54" w:name="page55"/>
    <w:bookmarkEnd w:id="54"/>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not work as intended or cause undesirable side effects that could hinder or prevent receipt of regulatory approval or realization of commercial potential for them or our other product candidates and substantially harm our business.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product candidates may be associated with off-target editing or other serious adverse events, undesirable side effects or unexpected characteristics, including large deletions and translocations or chromosomal abnormalities. Results of clinical trials could reveal severe or recurring side effects, toxicities or unexpected events, including death. Off-target cuts could lead to disruption of a gene or a genetic regulatory sequence at an unintended site in the DNA. In those instances where we also provide a segment of DNA, it is possible that following off-target cut events, such DNA could be integrated into the genome at an unintended site, potentially disrupting another important gene or genomic element. There may also be delayed adverse events following exposure to therapeutics made with genome editing technologies due to persistent biologic activity of the genetic material or other components of products used to carry the genetic material. Such unintended and undesirable side effects were recently exhibited in one of our competitors’ clinical trials for which a clinical hold was placed by the FDA in October 2021 following a report of a chromosomal abnormality. In addition to serious adverse events or side effects caused by product candidates we develop alone or with collaborators, the administration process or related procedures may also cause undesirable side effects. For example, in our Phase 1/2a clinical trial of PBCAR0191, there have been patient deaths which are being assessed as possibly related to study treatment, as well as patient deaths without disease progression that, while deemed unrelated to study treatment, may lead to adverse public perception of CAR T cell therapy.</w:t>
      </w:r>
    </w:p>
    <w:p>
      <w:pPr>
        <w:spacing w:after="0" w:line="19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Further, any side effects may not be appropriately recognized or managed by the treating medical staff. We or our collaborators expect to have to educate medical personnel using any product candidates we may develop to understand the side effect profiles for our clinical trials and upon any commercialization of such product candidates. Inadequate recognition or management of the potential side effects of such product candidates could result in patient injury or death.</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any such events occur, clinical trials or commercial distribution of any product candidates or products we develop alone or with collaborators could be suspended or terminated, and our business and reputation could suffer substantial harm. Treatment-related side effects could affect patient recruitment and the ability of enrolled patients to complete the trial or result in potential liability claims. Regulatory authorities could order us or our collaborators to cease further development of, deny approval of or require us to cease selling any product candidates or products for any or all targeted indications. If we or our collaborators elect, or are required, to delay, suspend or terminate any clinical trial or commercialization efforts, the commercial prospects of such product candidates or products may be harmed, and our ability to generate product revenues from them or other product candidates that we develop may be delayed or eliminated.</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Additionally, if we successfully develop a product candidate alone or with collaborators and it receives marketing approval, the FDA or foreign regulatory authorities could require us to adopt a REMS or similar risk management measures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similar risk management measures or engage in similar actions, such as patient education, certification of health care professionals or specific monitoring, if we or others later identify undesirable side effects caused by any product that we develop alone or with collaborators. Such identification could also have several additional significant negative consequences, such as:</w:t>
      </w:r>
    </w:p>
    <w:p>
      <w:pPr>
        <w:spacing w:after="0" w:line="81" w:lineRule="exact"/>
        <w:rPr>
          <w:sz w:val="20"/>
          <w:szCs w:val="20"/>
          <w:color w:val="auto"/>
        </w:rPr>
      </w:pPr>
    </w:p>
    <w:p>
      <w:pPr>
        <w:ind w:left="740" w:hanging="368"/>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withdraw or limit approvals of such product, or seek an injunction against its manufacture or distribution;</w:t>
      </w:r>
    </w:p>
    <w:p>
      <w:pPr>
        <w:spacing w:after="0" w:line="225" w:lineRule="exact"/>
        <w:rPr>
          <w:rFonts w:ascii="Times New Roman" w:cs="Times New Roman" w:eastAsia="Times New Roman" w:hAnsi="Times New Roman"/>
          <w:sz w:val="18"/>
          <w:szCs w:val="18"/>
          <w:color w:val="auto"/>
        </w:rPr>
      </w:pPr>
    </w:p>
    <w:p>
      <w:pPr>
        <w:ind w:left="740" w:right="100" w:hanging="368"/>
        <w:spacing w:after="0" w:line="282" w:lineRule="auto"/>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including “boxed” warnings, or issue safety alerts, Dear Healthcare Provider letters, press releases or other communications containing warnings or other safety information about the product;</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is administered or conduct additional trials;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decide to remove the product from the marketplace;</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be held liable for harm caused to patients; and</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33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or our collaborators from achieving or maintaining market acceptance of any potential product, or otherwise have a negative impact on our business.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55" w:name="page56"/>
    <w:bookmarkEnd w:id="55"/>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federal, state and foreign healthcare laws and regulations relating to our business, and could face substantial penalties if we are determined not to have fully complied with such laws, which would have an adverse impact on our business.</w:t>
      </w:r>
    </w:p>
    <w:p>
      <w:pPr>
        <w:spacing w:after="0" w:line="159"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Our business operations, as well as our current and anticipated future arrangements with investigators, healthcare professionals, consultants, third-party payors, customers and patients, expose or will expose us to broadly applicable foreign, federal, and state fraud and abuse and other healthcare laws and regulations. These laws constrain the business or financial arrangements and relationships through which we conduct our operations, including how we research, market, sell and distribute any potential products for which we may obtain marketing approval. Such laws include:</w:t>
      </w:r>
    </w:p>
    <w:p>
      <w:pPr>
        <w:spacing w:after="0" w:line="72" w:lineRule="exact"/>
        <w:rPr>
          <w:sz w:val="20"/>
          <w:szCs w:val="20"/>
          <w:color w:val="auto"/>
        </w:rPr>
      </w:pPr>
    </w:p>
    <w:p>
      <w:pPr>
        <w:ind w:left="740" w:right="40" w:hanging="368"/>
        <w:spacing w:after="0" w:line="258" w:lineRule="auto"/>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U.S. healthcare program such as Medicare and Medicaid. A person or entity does not need to have actual knowledge of the U.S. federal Anti-Kickback Statute or specific intent to violate it in order to have committed a violation;</w:t>
      </w:r>
    </w:p>
    <w:p>
      <w:pPr>
        <w:spacing w:after="0" w:line="183" w:lineRule="exact"/>
        <w:rPr>
          <w:rFonts w:ascii="Times New Roman" w:cs="Times New Roman" w:eastAsia="Times New Roman" w:hAnsi="Times New Roman"/>
          <w:sz w:val="18"/>
          <w:szCs w:val="18"/>
          <w:color w:val="auto"/>
        </w:rPr>
      </w:pPr>
    </w:p>
    <w:p>
      <w:pPr>
        <w:ind w:left="740" w:right="140" w:hanging="368"/>
        <w:spacing w:after="0" w:line="255" w:lineRule="auto"/>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civil and criminal false claims laws, including the civil False Claims Act, which can be enforced through civil whistleblower or qui tam actions, and civil monetary penalties laws, prohibits, among other things, individuals and entities from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 In addition, the government may assert that a claim including items or services resulting from a violation of the U.S. federal Anti-Kickback Statute constitutes a false or fraudulent claim for purposes of the civil False Claims Act;</w:t>
      </w:r>
    </w:p>
    <w:p>
      <w:pPr>
        <w:spacing w:after="0" w:line="188" w:lineRule="exact"/>
        <w:rPr>
          <w:rFonts w:ascii="Times New Roman" w:cs="Times New Roman" w:eastAsia="Times New Roman" w:hAnsi="Times New Roman"/>
          <w:sz w:val="18"/>
          <w:szCs w:val="18"/>
          <w:color w:val="auto"/>
        </w:rPr>
      </w:pPr>
    </w:p>
    <w:p>
      <w:pPr>
        <w:ind w:left="740" w:right="20" w:hanging="368"/>
        <w:spacing w:after="0" w:line="258" w:lineRule="auto"/>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Health Insurance Portability and Accountability Act of 1996 (“HIPAA”), which imposes criminal and civil liability for, among other things, knowingly and willfully executing, or attempting to execute, a scheme to defraud any healthcare benefit program, including private third-party payors,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83" w:lineRule="exact"/>
        <w:rPr>
          <w:rFonts w:ascii="Times New Roman" w:cs="Times New Roman" w:eastAsia="Times New Roman" w:hAnsi="Times New Roman"/>
          <w:sz w:val="18"/>
          <w:szCs w:val="18"/>
          <w:color w:val="auto"/>
        </w:rPr>
      </w:pPr>
    </w:p>
    <w:p>
      <w:pPr>
        <w:ind w:left="740" w:right="120" w:hanging="368"/>
        <w:spacing w:after="0" w:line="256" w:lineRule="auto"/>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Physician Payments Sunshine Act, which requires certain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non-physician practitioners such as physician assistants and nurse practitioners, and teaching hospitals, and requires applicable manufacturers and group purchasing organizations to report annually to the Centers for Medicare and Medicaid Services (“CMS”), ownership and investment interests held by the physicians described above and their immediate family members; and</w:t>
      </w:r>
    </w:p>
    <w:p>
      <w:pPr>
        <w:spacing w:after="0" w:line="187" w:lineRule="exact"/>
        <w:rPr>
          <w:rFonts w:ascii="Times New Roman" w:cs="Times New Roman" w:eastAsia="Times New Roman" w:hAnsi="Times New Roman"/>
          <w:sz w:val="18"/>
          <w:szCs w:val="18"/>
          <w:color w:val="auto"/>
        </w:rPr>
      </w:pPr>
    </w:p>
    <w:p>
      <w:pPr>
        <w:ind w:left="740" w:right="120" w:hanging="368"/>
        <w:spacing w:after="0" w:line="254" w:lineRule="auto"/>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anti-corruption and false claims laws, which may apply to our business practices, including, but not limited to, research, distribution, sales and marketing arrangements and claims involving healthcare items or services reimbursed by non-governmental third-party payors, including private insurers, or by the patients themselves; state laws and foreign laws and regulations that require pharmaceutical and device companies to comply with the industry’s voluntary compliance guidelines and the relevant compliance guidance promulgated by the U.S. government or foreign governmental authorities, or otherwise restrict payments that may be made to healthcare providers and other potential referral sources; state and local laws and regulations and foreign. laws and regulations that require manufacturers to report information related to payments and other transfers of value to physicians and other healthcare providers or marketing expenditures and pricing information; state and local laws and foreign laws and regulations which require the registration of pharmaceutical sales representatives.</w:t>
      </w:r>
    </w:p>
    <w:p>
      <w:pPr>
        <w:spacing w:after="0" w:line="29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laws and regulations will involve substantial costs. It is possible that governmental authorities may conclude that our business practices, including our relationships with certain physicians, some of whom are compensated in the form of stock options for consulting services provided, do not comply with current or future statutes, regulations, agency guidance or case law involving applicable healthcare laws. If our operations are found to be in violation of any of these or any other health regulatory laws that may apply to us, we may be subject to significant penalties, including the imposition of significant civil, criminal and administrative penalties, damages, monetary fines, disgorgement, individual imprisonment, possible exclusion from participation in Medicare, Medicaid and other U.S. or foreign healthcare programs, additional reporting requirements and oversight if we become subject to a corporate integrity agreement or similar agreement to resolve allegations of non-compliance with these laws, contractual damages, reputational harm, diminished profits and future earnings, and curtailment or restructuring of our operations, any of which could adversely affect our ability to operate our business and our results of operations. Defending against any such actions can be costly, time-consuming and may require significant financial and personnel resources. Therefore, even if we are successful in defending against any such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56" w:name="page57"/>
    <w:bookmarkEnd w:id="56"/>
    <w:p>
      <w:pPr>
        <w:spacing w:after="0" w:line="282" w:lineRule="auto"/>
        <w:rPr>
          <w:sz w:val="20"/>
          <w:szCs w:val="20"/>
          <w:color w:val="auto"/>
        </w:rPr>
      </w:pPr>
      <w:r>
        <w:rPr>
          <w:rFonts w:ascii="Times New Roman" w:cs="Times New Roman" w:eastAsia="Times New Roman" w:hAnsi="Times New Roman"/>
          <w:sz w:val="18"/>
          <w:szCs w:val="18"/>
          <w:color w:val="auto"/>
        </w:rPr>
        <w:t>actions that may be brought against us, our business may be impaired. If any of the above occur, it could adversely affect our ability to operate our business and our results of operations.</w:t>
      </w:r>
    </w:p>
    <w:p>
      <w:pPr>
        <w:spacing w:after="0" w:line="15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and the increasing use of social media, could adversely affect our business, results of operations, and financial condition.</w:t>
      </w:r>
    </w:p>
    <w:p>
      <w:pPr>
        <w:spacing w:after="0" w:line="15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can be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9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As our operations and business grow, we may become subject to or affected by new or additional data protection laws and regulations and face increased scrutiny or attention from regulatory authorities. In the U.S., HIPAA, as amended by the Health Information Technology for Economic and Clinical Health Act of 2009 and their implementing regulations, imposes, among other things, certain standards relating to the privacy, security, transmission and breach reporting of individually identifiable health information on covered entities (defined as health plans, health care clearinghouses and certain health care providers) and their respective business associates, individuals or entities that create, receive, maintain or transmit protected health information in connection with providing a service for or on behalf of a covered entity. HIPAA mandates the reporting of certain breaches of health information to HHS, affected individuals and if the breach is large enough, the media. Entities that are found to be in violation of HIPAA as the result of a breach of unsecured protected health information,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Even when HIPAA does not apply, according to the Federal Trade Commission or the FTC, failing to take appropriate steps to keep consumers’ personal information secure constitutes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9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California recently enacted the CCPA, which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Further, the CPRA, recently passed in California. The CPRA significantly amends the CCPA and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CPRA provisions are expected to go into effect on January 1, 2023. The CCPA, and the CPRA, may increase our compliance costs and potential liability, and many similar laws have been proposed at the federal level and in other states.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6" w:right="379" w:bottom="1440" w:gutter="0" w:footer="0" w:header="0"/>
        </w:sectPr>
      </w:pPr>
    </w:p>
    <w:bookmarkStart w:id="57" w:name="page58"/>
    <w:bookmarkEnd w:id="57"/>
    <w:p>
      <w:pPr>
        <w:ind w:right="120"/>
        <w:spacing w:after="0" w:line="272" w:lineRule="auto"/>
        <w:rPr>
          <w:sz w:val="20"/>
          <w:szCs w:val="20"/>
          <w:color w:val="auto"/>
        </w:rPr>
      </w:pPr>
      <w:r>
        <w:rPr>
          <w:rFonts w:ascii="Times New Roman" w:cs="Times New Roman" w:eastAsia="Times New Roman" w:hAnsi="Times New Roman"/>
          <w:sz w:val="17"/>
          <w:szCs w:val="17"/>
          <w:color w:val="auto"/>
        </w:rPr>
        <w:t>In Europe, the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Since January 1, 2021 we have been subject to compliance with the GDPR and the UK GDPR, which, together with the amended UK Data Protection Act 2018, retains the GDPR in UK national law. The UK GDPR mirrors the fines under the GDPR, i.e., fines up to the greater of €20 million/ £17 million or 4% of global turnover. The relationship between the UK and the EU in relation to certain aspects of data protection law remains unclear, and it is unclear how UK data protection laws and regulations will develop in the medium to longer term.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 or extends that decision.</w:t>
      </w:r>
    </w:p>
    <w:p>
      <w:pPr>
        <w:spacing w:after="0" w:line="17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Recent legal developments in Europe have created complexity and uncertainty regarding transfers of personal data from the EEA and the UK to the U.S. Most recently, on July 16, 2020, the Court of Justice of the European Union (“CJEU”) invalidated the EU-US Privacy Shield Framework, the Privacy Shield, under which personal data could be transferred from the EEA to US entities who had self-certified under the Privacy Shield scheme. While the CJEU upheld the adequacy of the standard contractual clauses (“SCCs”), it made clear that reliance on them alone may not necessarily be sufficient in all circumstances. Use of the SCCs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The CJEU went on to state that if a competent supervisory authority believes that the standard contractual clauses cannot be complied with in the destination country and the required level of protection cannot be secured by other means, such supervisory authority is under an obligation to suspend or prohibit that transfer.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 new SCCs apply only to the transfer of personal data outside of the EEA and not the UK; the UK’s Information Commissioner’s Office launched a public consultation on its draft revised data transfers mechanisms in August 2021. There is some uncertainty around whether the revised clauses can be used for all types of data transfers, particularly whether they can be relied on for data transfers to non-EEA entities subject to the GDPR.</w:t>
      </w:r>
    </w:p>
    <w:p>
      <w:pPr>
        <w:spacing w:after="0" w:line="19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recent developments may require us to review and amend the legal mechanisms by which we make and/ or receive personal data transfers to/ in the U.S.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Despite our efforts to monitor evolving social media communication guidelines and comply with applicable rules, there is risk that the use of social media by us or our employees to communicate about our product candidates or business may cause us to be found in violation of applicable requirements. In addition, our employees may knowingly or inadvertently make use of social media in ways that may not comply with our internal policies or other legal or contractual requirements, which may give rise to liability, lead to the loss of trade secrets or other intellectual property, or result in public exposure of personal information of our employees, clinical trial patients, customers and others. Our potential patient population may also be active on social media and use these platforms to comment on the effectiveness of, or adverse experiences with, our product candidates. Negative posts or comments about us or our product candidates on social media could seriously damage our reputation, brand image and goodwill.</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7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received orphan drug designation for PBCAR0191 for the treatment of ALL and MCL and for PBCAR269A for the treatment of multiple myeloma, and we may seek orphan drug designation for some or all of our other product candidates, but we may be unable to obtain such designations or to maintain the benefits associated with orphan drug designation, which may negatively impact our ability to develop or obtain regulatory approval for such product candidates and may reduce our revenue if we obtain such approval.</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may seek orphan drug designation for some or all of our product candidates in specific orphan indications in which there is a medically plausible basis for the use of these products. Under the Orphan Drug Act, the FDA may grant orphan designation to a drug or biologic intended to treat a rare disease or condition, defined as a disease or condition with a patient population of fewer than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58" w:name="page59"/>
    <w:bookmarkEnd w:id="58"/>
    <w:p>
      <w:pPr>
        <w:ind w:right="60"/>
        <w:spacing w:after="0" w:line="255" w:lineRule="auto"/>
        <w:rPr>
          <w:sz w:val="20"/>
          <w:szCs w:val="20"/>
          <w:color w:val="auto"/>
        </w:rPr>
      </w:pPr>
      <w:r>
        <w:rPr>
          <w:rFonts w:ascii="Times New Roman" w:cs="Times New Roman" w:eastAsia="Times New Roman" w:hAnsi="Times New Roman"/>
          <w:sz w:val="18"/>
          <w:szCs w:val="18"/>
          <w:color w:val="auto"/>
        </w:rPr>
        <w:t>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Orphan drug designation must be requested before submitting a BLA. In the United States,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 Although we may seek orphan product designation for some or all of our other product candidates, we may never receive such designations.</w:t>
      </w:r>
    </w:p>
    <w:p>
      <w:pPr>
        <w:spacing w:after="0" w:line="18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BLA, to market the same biologic for the same indication for seven years, except in limited circumstances such as a showing of clinical superiority to the product with orphan product exclusivity or if FDA finds that the holder of the orphan drug exclusivity has not shown that it can ensure the availability of sufficient quantities of the orphan drug to meet the needs of patients with the disease or condition for which the drug was designated. Even if we or our collaborators obtain orphan drug designation for a product candidate, we may not be the first to obtain marketing approval for any particular orphan indication due to the uncertainties associated with developing pharmaceutical products. Exclusive marketing rights in the United States may be limited if we or our collaborators seek approval for an indication broader than the orphan designated indication and may be lost if the FDA later determines that the request for designation was materially defective or if the manufacturer is unable to assure sufficient quantities of the product to meet the needs of patients with the rare disease or condition. Further, even if a product obtains orphan drug exclusivity, that exclusivity may not effectively protect the product from competition because different drugs with different active moieties can be approved for the same condition. Even after an orphan drug is approved, the FDA can subsequently approve the same drug with the same active moiety for the same condition if the FDA concludes that the later drug is safer, more effective, or makes a major contribution to patient care. Furthermore, the FDA can waive orphan exclusivity if we or our collaborators are unable to manufacture sufficient supply of the product.</w:t>
      </w:r>
    </w:p>
    <w:p>
      <w:pPr>
        <w:spacing w:after="0" w:line="19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Similarly, in the EU, a medicinal product may receive orphan designation under Article 3 of Regulation (EC) 141/2000. This applies to products (1) that are intended for a life-threatening or chronically debilitating condition; and (2) either (a) such condition affects not more than five in 10,000 persons in the EU when the application is made, or (b) the product, without the benefits derived from orphan status, would be unlikely to generate sufficient returns in the EU to justify the necessary investment, and (3) there exists no satisfactory method of diagnosis, prevention or treatment of such condition authorized for marketing in the EU or, if such a method exists, the product will be of significant benefit to those affected by the condition. In the EU, orphan medicinal products are eligible for financial incentives such as reduction of fees or fee waivers and applicants can benefit from specific regulatory assistance and scientific advice. Upon grant of a MA, orphan medicinal products are entitled to 10 years of market exclusivity, during which time no similar medicinal product for the same indication may be placed on the market. An orphan product can also obtain an additional two years of market exclusivity in the EU for pediatric studies. However, 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w:t>
      </w:r>
    </w:p>
    <w:p>
      <w:pPr>
        <w:spacing w:after="0" w:line="84" w:lineRule="exact"/>
        <w:rPr>
          <w:sz w:val="20"/>
          <w:szCs w:val="20"/>
          <w:color w:val="auto"/>
        </w:rPr>
      </w:pPr>
    </w:p>
    <w:p>
      <w:pPr>
        <w:ind w:left="740" w:hanging="368"/>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that its product, although similar, is safer, more effective or otherwise clinically superior;</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applicant consents to a second orphan medicinal product application; or</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applicant cannot supply enough orphan medicinal product.</w:t>
      </w:r>
    </w:p>
    <w:p>
      <w:pPr>
        <w:spacing w:after="0" w:line="33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we or our collaborators do not receive or maintain orphan drug designation for product candidates for which we seek such designation, it could limit our ability to realize revenues from such product candidates.</w:t>
      </w:r>
    </w:p>
    <w:p>
      <w:pPr>
        <w:spacing w:after="0" w:line="15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received and may continue to seek fast track designation and rare pediatric disease designation, and may seek breakthrough therapy designation, Regenerative Medicine Advanced Therapy (“RMAT”) designation, or priority review from the FDA or access to the PRIME scheme from the EMA for some or all of our product candidates, but we may not receive such designations, and even if we do, it may not lead to a faster development or regulatory review or approval process, and will not increase the likelihood that such product candidates will receive marketing approval.</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have received fast track designation and rare pediatric disease designation for PBCAR0191 for the treatment of B-ALL as well as fast track designation for PBCAR269A for R/R multiple myeloma. We may continue to seek fast track designation and may also seek breakthrough therapy designation, RMAT designation or priority review from the FDA, or access to the PRIME scheme from the EMA for some or all of our product candidates. If a drug, or biologic, in our case, is intended for the treatment of a serious or life-threatening condition or disease, and nonclinical or clinical data demonstrate the potential to address an unmet medical need, the product may qualify for FDA fast track designation, for which sponsors must apply. The FDA has broad discretion whether or not to grant this designation. If granted, fast track designation makes a biologic eligible for more frequent interactions with FDA to discuss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59" w:name="page60"/>
    <w:bookmarkEnd w:id="59"/>
    <w:p>
      <w:pPr>
        <w:ind w:right="20"/>
        <w:spacing w:after="0" w:line="266" w:lineRule="auto"/>
        <w:rPr>
          <w:sz w:val="20"/>
          <w:szCs w:val="20"/>
          <w:color w:val="auto"/>
        </w:rPr>
      </w:pPr>
      <w:r>
        <w:rPr>
          <w:rFonts w:ascii="Times New Roman" w:cs="Times New Roman" w:eastAsia="Times New Roman" w:hAnsi="Times New Roman"/>
          <w:sz w:val="18"/>
          <w:szCs w:val="18"/>
          <w:color w:val="auto"/>
        </w:rPr>
        <w:t>the development plan and clinical trial design, as well as rolling review of the application, which means that the company can submit completed sections of its marketing application for review prior to completion of the entire submission. Products with fast track designation may also be eligible for accelerated approval and/or priority review, if the relevant criteria are met.</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Breakthrough therapy designation is intended to expedite the development and review of product candidates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the same potential benefits as a fast track designation, with more intensive FDA guidance on an efficient development program and an organizational commitment at FDA involving senior managers.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company may also request RMAT designation of its product candidate, which designation may be granted if the drug meets the following criteria: (1) 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qualifies as a RMAT, which is defined as a cell therapy, therapeutic tissue engineering product, human cell and tissue product, or any combination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using such therapies or products, with limited exceptions; (2) it is intended to treat, modify, reverse, or cure a serious or life-threatening disease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and (3) preliminary clinical evidence indicates that the drug has the potential to address unmet medical needs for such a disease or condition.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Like breakthrough therapy designation, RMAT designation provides potential benefits that include more frequent meetings with FDA to discuss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plan for the product candidate, and potential eligibility for rolling review and priority review. Products granted RMAT designation may also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eligible for accelerated approval on the basis of a surrogate or intermediate endpoint reasonably likely to predict long-term clinical benefit, or reliance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upon data obtained from a meaningful number of sites, including through expansion to additional sites. RMAT- designated products that receive accelerated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may, as appropriate, fulfill their post-approval requirements through the submission of clinical evidence, clinical studies, patient registries,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sources of real world evidence (such as electronic health records); through the collection of larger confirmatory data sets; or via post-approval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monitoring of all patients treated with such therapy prior to approval of the therapy.</w:t>
      </w:r>
    </w:p>
    <w:p>
      <w:pPr>
        <w:spacing w:after="0" w:line="2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PRIME is a scheme provided by the EMA to enhance support for the development of medicines that target an unmet medical need. To qualify for PRIME, product candidates require early clinical evidence that the therapy has the potential to offer a therapeutic advantage over existing treatments or benefits patients without treatment options. Among the benefits of PRIME are the appointment of a rapporteur to provide continuous support and help build knowledge ahead of a marketing authorization application, early dialogue and scientific advice at key development milestones, and the potential to qualify products for accelerated review earlier in the application process.</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Based on legislation adopted late in 2007, the EMA established an additional regulatory designation for products classified as an ATMP. The ATMP classification offers sponsors a variety of benefits similar to those associated with the PRIME scheme, including scientific and regulatory guidance, additional opportunities for dialogue with regulators, and presubmission review and certification of the CMC and nonclinical data proposed for submission in a forthcoming MA applications for micro-, small-, or medium-sized enterprises. To qualify for this designation, product candidates intended for human use must be based on gene therapy, somatic cell therapy, or tissue engineered therapy (i.e., engineered cells or tissues intended to regenerate, replace or repair human tissue).</w:t>
      </w:r>
    </w:p>
    <w:p>
      <w:pPr>
        <w:spacing w:after="0" w:line="187"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There is no assurance that we will obtain additional fast track designation, or that we will obtain breakthrough therapy designation, RMAT designation or access to PRIME or ATMP for any of our product candidates. Fast track designation, breakthrough therapy designation, RMAT designation, and PRIME and ATMP eligibility do not change the standards for product approval, and there is no assurance that any such designation or eligibility will result in expedited review or approval or that the approved indication will not be narrower than the indication covered by the fast track designation, breakthrough therapy designation, RMAT designation or PRIME or ATMP eligibility. Additionally, fast track designation, breakthrough therapy designation, RMAT designation and access to PRIME or ATMP can each be revoked if the criteria for eligibility cease to be met as clinical data emerges.</w:t>
      </w:r>
    </w:p>
    <w:p>
      <w:pPr>
        <w:spacing w:after="0" w:line="169" w:lineRule="exact"/>
        <w:rPr>
          <w:sz w:val="20"/>
          <w:szCs w:val="20"/>
          <w:color w:val="auto"/>
        </w:rPr>
      </w:pPr>
    </w:p>
    <w:p>
      <w:pPr>
        <w:ind w:right="2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the product candidates that we or our collaborators may develop receive regulatory approval in the United States or another jurisdiction, they may never receive approval in other jurisdictions, which would limit market opportunities for such product candidate and adversely affect our business.</w:t>
      </w:r>
    </w:p>
    <w:p>
      <w:pPr>
        <w:spacing w:after="0" w:line="13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Approval of a product candidate in the United States by the FDA or by the requisite regulatory agencies in any other jurisdiction does not ensure approval of such product candidate by regulatory authorities in other countries or jurisdictions. The approval process varies among countries and may limit our or our collaborators’ ability to develop, manufacture, promote and sell product candidates internationally. Failure to obtain marketing approval in international jurisdictions would prevent the product candidates from being marketed outside of the jurisdictions in which regulatory approvals have been received. In order to market and sell product candidates in the EU and many other jurisdictions, we and our collaborators must obtain separate marketing approvals and comply with numerous and varying regulatory requirements. The approval procedure varies among countries and may involve additional preclinical studies or clinical trials both before and after approval. In many countries, any product candidate for human use must be approved for reimbursement before it can be approved for sale in that country. In some cases, the intended price for such product is also subject to approval. Further, while regulatory approval of a product candidate in one country does not ensure approval in any other country, a failure or delay in obtaining regulatory approval in one country may have a negative effect on the regulatory approval process in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60" w:name="page61"/>
    <w:bookmarkEnd w:id="60"/>
    <w:p>
      <w:pPr>
        <w:ind w:right="80"/>
        <w:spacing w:after="0" w:line="266" w:lineRule="auto"/>
        <w:rPr>
          <w:sz w:val="20"/>
          <w:szCs w:val="20"/>
          <w:color w:val="auto"/>
        </w:rPr>
      </w:pPr>
      <w:r>
        <w:rPr>
          <w:rFonts w:ascii="Times New Roman" w:cs="Times New Roman" w:eastAsia="Times New Roman" w:hAnsi="Times New Roman"/>
          <w:sz w:val="18"/>
          <w:szCs w:val="18"/>
          <w:color w:val="auto"/>
        </w:rPr>
        <w:t>others. If we or our collaborators fail to comply with the regulatory requirements in international markets or to obtain all required marketing approvals, the target market for a particular potential product will be reduced, which would limit our ability to realize the full market potential for the product and adversely affect our business.</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to obtain marketing approval of and commercialize any product candidates we or our collaborators develop and may adversely affect the prices for such product candidates.</w:t>
      </w:r>
    </w:p>
    <w:p>
      <w:pPr>
        <w:spacing w:after="0" w:line="159"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In the United States and certain foreign jurisdictions, there have been, and we expect there will continue to be, a number of legislative and regulatory changes and proposed changes regarding the healthcare system that could, among other things, prevent or delay marketing approval of our product candidates, restrict or regulate post-approval activities and affect our or our collaborators’ ability to profitably sell any product candidates that obtain marketing approval.</w:t>
      </w:r>
    </w:p>
    <w:p>
      <w:pPr>
        <w:spacing w:after="0" w:line="1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For example, in March 2010, the Patient Protection and Affordable Care Act, as amended by the Health Care and Education Reconciliation Act, collectively the ACA, was enacted in the United States. Among the provisions of the Affordable Care Act of importance to our product candidates, the ACA established an annual, nondeductible fee on any entity that manufactures or imports specified branded prescription drugs and biologic agents; increased the statutory minimum rebates a manufacturer must pay under the Medicaid Drug Rebate Program, extended manufacturers’ Medicaid rebate liability to covered drugs dispensed to individuals who are enrolled in Medicaid managed care organizations, expanded eligibility criteria for Medicaid programs, expanded the entities eligible for discounts under the Public Health program, addressed a new methodology by which rebates owed by manufacturers under the Medicaid Drug Rebate Program are calculated for drugs that are inhaled, infused, instilled, implanted or injected, created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 and created a licensure framework for follow-on biologic products.</w:t>
      </w:r>
    </w:p>
    <w:p>
      <w:pPr>
        <w:spacing w:after="0" w:line="19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Since its enactment, there have been judicial, administrative, executive, and legislative challenges to certain aspects of the ACA, and the most recent judicial challenge to the ACA brought before the Supreme Court was dismissed in June 2021 resulting in the ACA remaining in effect in its current form. Prior to the Supreme Court’s decision. President Biden issued an executive order instructing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 reform measures of the Biden administration will impact our business.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included reductions to Medicare payments to providers of 2% per fiscal year, which went into effect on April 1, 2013 and, due to subsequent legislative amendments to the statute, will remain in effect through 2030, with the exception of a temporary suspension from May 1, 2020 through March 31, 2022,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Further, there has been heightened governmental scrutiny recently over pharmaceutical pricing practices in light of the rising cost of prescription drugs and biologics. Such scrutiny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rebates and price negotiation for pharmaceutical products. At the state level, legislatures have increasingly passed legislation and implemented regulations designed to control pharmaceutical product and medical device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medical devices to purchase and which suppliers will be included in their prescription drug and other healthcare programs.</w:t>
      </w:r>
    </w:p>
    <w:p>
      <w:pPr>
        <w:spacing w:after="0" w:line="18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expect that other healthcare reform measures that may be adopted in the future, may result in more rigorous coverage criteria, new payment methodologies and in additional downward pressure on the price that we or our collaborators may receive for any approved or cleared product. Any reduction in reimbursement from Medicare or other government programs may result in a similar reduction in payments from private payors. We cannot predict the likelihood, nature or extent of government regulation that may arise from future legislation or administrative action, either in the United States or abroad. If we or our collaborators are slow or unable to adapt to new requirements or policies, or if we or our collaborators are not able to maintain regulatory compliance, any of our product candidates may lose any regulatory approval that may have been obtained and we may not achieve or sustain profitability, which would adversely affect our business.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61" w:name="page62"/>
    <w:bookmarkEnd w:id="61"/>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any products that we develop alone or with collaborators, such products will remain subject to ongoing regulatory requirements, which may result in significant additional expense.</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Even if products we develop alone or with collaborators receive regulatory approval, they will be subject to ongoing regulatory requirements for manufacturing, labeling, packaging, distribution, storage, advertising, promotion, sampling, record-keeping and submission of safety and other post-market information, among other things. Any regulatory approvals received for such products may also be subject to limitations on the approved indicated uses for which they may be marketed or to the conditions of approval, or contain requirements for potentially costly post-marketing testing and surveillance studies. For example, the holder of an approved BLA in the United States is obligated to monitor and report adverse events and any failure of a product to meet the specifications in the BLA. FDA guidance advises that patients treated with some types of gene therapy undergo follow-up observations for potential adverse events for as long as 15 years. Similarly, in the EU, pharmacovigilance obligations are applicable to all medicinal products. In addition to those, holders of a marketing authorization for gene or cell therapy products must detail, in their application, the measures they envisage to ensure follow-up of the efficacy and safety of these products. In cases of particular concern, marketing authorization holders for gene or cell therapy products in the EU may be required to design a risk management system with a view to identifying, preventing or minimizing risks and may be obliged to carry out post-marketing studies. In the United States, the holder of an approved BLA must also submit new or supplemental applications and obtain FDA approval for certain changes to the approved product, product labeling or manufacturing process. Similar provisions apply in the EU. Advertising and promotional materials must comply with FDA rules and are subject to FDA review, in addition to other potentially applicable federal and state laws. Similarly, in the EU any promotion of medicinal products is highly regulated and, depending on the specific jurisdiction involved, may require prior vetting by the competent national regulatory authority.</w:t>
      </w:r>
    </w:p>
    <w:p>
      <w:pPr>
        <w:spacing w:after="0" w:line="19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addition, product manufacturers and their facilities are subject to payment of user fees and continual review and periodic inspections by the FDA and other regulatory authorities for compliance with GMP requirements and adherence to commitments made in the BLA or foreign marketing application. If we, our collaborators or a regulatory agency discovers previously unknown problems with a product such as adverse events of unanticipated severity or frequency or problems with the facility where the product is manufactured or disagrees with the promotion, marketing or labeling of that product, a regulatory agency may impose restrictions relative to that product, the manufacturing facility or us or our collaborators, including requiring recall or withdrawal of the product from the market or suspension of manufacturing.</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Moreover, if any of our product candidates are approved, our product labeling, advertising, promotion and distribution will be subject to regulatory requirements and continuing regulatory review. The FDA and foreign regulatory authorities strictly regulate the promotional claims that may be made about drug products. In particular, a product may not be promoted for uses that are not approved by the FDA and foreign regulatory authorities as reflected in the product’s approved labeling.</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we or our collaborators fail to comply with applicable regulatory requirements following approval of any potential products we may develop, authorities may:</w:t>
      </w:r>
    </w:p>
    <w:p>
      <w:pPr>
        <w:spacing w:after="0" w:line="54" w:lineRule="exact"/>
        <w:rPr>
          <w:sz w:val="20"/>
          <w:szCs w:val="20"/>
          <w:color w:val="auto"/>
        </w:rPr>
      </w:pPr>
    </w:p>
    <w:p>
      <w:pPr>
        <w:ind w:left="740" w:hanging="368"/>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 untitled enforcement letter or a warning letter asserting a violation of the law;</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impose civil and criminal penalties, and impose monetary fines,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terminate any ongoing clinical trials or implement requirements to conduct post-marketing studies or clinical trials;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refuse to approve a pending BLA or comparable foreign marketing application (or any supplements thereto) submitted by us or our collaborators;</w:t>
      </w:r>
    </w:p>
    <w:p>
      <w:pPr>
        <w:spacing w:after="0" w:line="236" w:lineRule="exact"/>
        <w:rPr>
          <w:rFonts w:ascii="Times New Roman" w:cs="Times New Roman" w:eastAsia="Times New Roman" w:hAnsi="Times New Roman"/>
          <w:sz w:val="17"/>
          <w:szCs w:val="17"/>
          <w:color w:val="auto"/>
        </w:rPr>
      </w:pPr>
    </w:p>
    <w:p>
      <w:pPr>
        <w:ind w:left="740" w:hanging="368"/>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labeling, marketing, distribution, use or manufacturing of products;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or otherwise require the withdrawal or recall of products from the market;</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approved applications that we or our collaborators submit;</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permit the import or export of products; or</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or our collaborators to enter into government contracts.</w:t>
      </w:r>
    </w:p>
    <w:p>
      <w:pPr>
        <w:spacing w:after="0" w:line="33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or our collaborators’ ability to commercialize products and our ability to generate revenues.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2" w:right="379" w:bottom="1440" w:gutter="0" w:footer="0" w:header="0"/>
        </w:sectPr>
      </w:pPr>
    </w:p>
    <w:bookmarkStart w:id="62" w:name="page63"/>
    <w:bookmarkEnd w:id="62"/>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the FDA’s policies, and policies of foreign regulatory agencies, may change, and additional regulations may be enacted that could prevent, limit or delay regulatory approval of product candidates. We cannot predict the likelihood, nature or extent of government regulation that may arise from future legislation or administrative or executive action, either in the United States or abroad. If we or our collaborators are slow or unable to adapt to changes in existing requirements or the adoption of new requirements, or if we or our collaborators are unable to maintain regulatory compliance, we or they may be subject to enforcement action and we may not achieve or sustain profitability.</w:t>
      </w:r>
    </w:p>
    <w:p>
      <w:pPr>
        <w:spacing w:after="0" w:line="17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 If we are found or alleged to have improperly promoted off-label uses, we may become subject to significant liability.</w:t>
      </w:r>
    </w:p>
    <w:p>
      <w:pPr>
        <w:spacing w:after="0" w:line="15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FDA and other regulatory agencies strictly regulate the promotional claims that may be made about prescription products, as our product candidates would be, if approved. In particular, a product may not be promoted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and avoid off-label promotion of our product candidates, if approved, we could become subject to significant liability, which would materially adversely affect our business and financial condition.</w:t>
      </w:r>
    </w:p>
    <w:p>
      <w:pPr>
        <w:spacing w:after="0" w:line="18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resulting staff changes, may also slow the time necessary for new biologics or modifications to approved biologics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Separately, in response to the COVID-19 pandemic, in March 2020, the FDA announced its intention to postpone most inspections of foreign manufacturing facilities, and on March 18, 2020, the FDA temporarily postponed routine surveillance inspections of domestic manufacturing facilities. Subsequently, in July 2020, the FDA resumed certain on-site inspections of domestic manufacturing facilities subject to a risk-based prioritization system. The FDA utilized this risk-based assessment system to assist in determining when and where it was safest to conduct prioritized domestic inspections. Additionally, on April 15, 2021, the FDA issued a guidance document in which the FDA described its plans to conduct voluntary remote interactive evaluations of certain drug manufacturing facilities and clinical research sites, among other facilities. According to the guidance, the FDA may request such remote interactive evaluations where the FDA determines that remote evaluation would be appropriate based on mission needs and travel limitations. In May 2021, the FDA outlined a detailed plan to move toward a more consistent state of inspectional operations, and in July 2021, the FDA resumed standard inspectional operations of domestic facilities. More recently, the FDA has continued to monitor and implement changes to its inspectional activities to ensure the safety of its employees and those of the firms it regulates as it adapts to the evolving COVID-19 pandemic. Regulatory authorities outside the United States have adopted similar restrictions or other policy measures in response to the COVID-19 pandemic and its variants.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63" w:name="page64"/>
    <w:bookmarkEnd w:id="63"/>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product we develop alone or with collaborators receives marketing approval, such product may fail to achieve the degree of market acceptance by physicians, patients, healthcare payors and others in the medical community necessary for commercial success.</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commercial success of any potential therapeutic products we develop alone or with collaborators will depend upon their degree of market acceptance by physicians, patients, third-party payors and others in the medical community. Even if any potential therapeutic products we develop alone or with collaborators receive marketing approval, they may nonetheless fail to gain sufficient market acceptance by physicians, patients, healthcare payors and others in the medical community. The degree of market acceptance of any product we develop alone or with collaborators, if approved for commercial sale, will depend on a number of factors, including:</w:t>
      </w:r>
    </w:p>
    <w:p>
      <w:pPr>
        <w:spacing w:after="0" w:line="75" w:lineRule="exact"/>
        <w:rPr>
          <w:sz w:val="20"/>
          <w:szCs w:val="20"/>
          <w:color w:val="auto"/>
        </w:rPr>
      </w:pPr>
    </w:p>
    <w:p>
      <w:pPr>
        <w:ind w:left="740" w:hanging="368"/>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such product as demonstrated in clinical trials;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 by FDA or other regulatory authorities;</w:t>
      </w:r>
    </w:p>
    <w:p>
      <w:pPr>
        <w:spacing w:after="0" w:line="225" w:lineRule="exact"/>
        <w:rPr>
          <w:rFonts w:ascii="Times New Roman" w:cs="Times New Roman" w:eastAsia="Times New Roman" w:hAnsi="Times New Roman"/>
          <w:sz w:val="18"/>
          <w:szCs w:val="18"/>
          <w:color w:val="auto"/>
        </w:rPr>
      </w:pPr>
    </w:p>
    <w:p>
      <w:pPr>
        <w:ind w:left="740" w:right="200" w:hanging="368"/>
        <w:spacing w:after="0" w:line="282"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regulatory authorities, including any limitations or warnings contained in a product’s approved labeling;</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attitudes regarding genome editing technologies;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any collaborators’ ability to educate the medical community about the safety and effectiveness of the product;</w:t>
      </w:r>
    </w:p>
    <w:p>
      <w:pPr>
        <w:spacing w:after="0" w:line="225" w:lineRule="exact"/>
        <w:rPr>
          <w:rFonts w:ascii="Times New Roman" w:cs="Times New Roman" w:eastAsia="Times New Roman" w:hAnsi="Times New Roman"/>
          <w:sz w:val="18"/>
          <w:szCs w:val="18"/>
          <w:color w:val="auto"/>
        </w:rPr>
      </w:pPr>
    </w:p>
    <w:p>
      <w:pPr>
        <w:ind w:left="740" w:right="180" w:hanging="368"/>
        <w:spacing w:after="0" w:line="282"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 as well as their willingness to accept a therapeutic intervention that involves the editing of the patient’s genome;</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compared to alternative treatments;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such product together with other treatments or products;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introduction of competitive products;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such product or competing products and treatments;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such product for sale at a competitive price;</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coverage and adequate reimbursement.</w:t>
      </w:r>
    </w:p>
    <w:p>
      <w:pPr>
        <w:spacing w:after="0" w:line="33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any products we develop alone or with collaborators do not achieve an adequate level of acceptance, we may not generate significant product revenues, and we may not become profitable.</w:t>
      </w:r>
    </w:p>
    <w:p>
      <w:pPr>
        <w:spacing w:after="0" w:line="15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or enter into agreements with third parties to sell and market any products we develop alone or with collaborators, the commercialization of such products may not be successful if and when they are approved.</w:t>
      </w:r>
    </w:p>
    <w:p>
      <w:pPr>
        <w:spacing w:after="0" w:line="15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do not have a sales or marketing infrastructure and, as a company, have no experience in the sale, marketing or distribution of biopharmaceutical or other commercial products. To achieve commercial success for any approved products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certain product candidates if and when they are approved.</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are risks involved with both establishing our own commercial capabilities and entering into arrangements with third parties to perform these services. For example, restricted or closed distribution channels may make it difficult to distribute products to segments of the patient population, and the lack of complementary medicines to be offered by sales personnel may put us at a competitive disadvantage relative to companies with more extensive product lines.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Recruiting and training a sales force or reimbursement specialists are expensive and time consuming and could delay any product launch. If the commercial launch of a product for which we recruit a sales force and establish marketing and other commercialization capabilities is delayed or does not occur for any reason, we would have prematurely or unnecessarily incurred these commercialization expenses, and our investment would be lost if we cannot retain or reposition our commercialization personnel. Factors that may inhibit our efforts to commercialize products on our own include:</w:t>
      </w:r>
    </w:p>
    <w:p>
      <w:pPr>
        <w:spacing w:after="0" w:line="72" w:lineRule="exact"/>
        <w:rPr>
          <w:sz w:val="20"/>
          <w:szCs w:val="20"/>
          <w:color w:val="auto"/>
        </w:rPr>
      </w:pPr>
    </w:p>
    <w:p>
      <w:pPr>
        <w:ind w:left="5540" w:right="3020" w:hanging="5168"/>
        <w:spacing w:after="0" w:line="532" w:lineRule="auto"/>
        <w:tabs>
          <w:tab w:leader="none" w:pos="74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commercialization organization;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64" w:name="page65"/>
    <w:bookmarkEnd w:id="64"/>
    <w:p>
      <w:pPr>
        <w:ind w:left="740" w:right="240" w:hanging="368"/>
        <w:spacing w:after="0" w:line="282" w:lineRule="auto"/>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retain and effectively manage adequate numbers of effective sales, marketing, customer service and other support personnel, including for reimbursement or medical affairs;</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educate adequate numbers of physicians on the benefits of our future medicines; and</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If we choose to enter into arrangements with third parties to perform sales, marketing, commercial support or distribution services, we may not be successful in entering into such arrangements or may be unable to do so on terms that are favorable to us. Entering into such third-party arrangements may subject us to a variety of risks, including:</w:t>
      </w:r>
    </w:p>
    <w:p>
      <w:pPr>
        <w:spacing w:after="0" w:line="68" w:lineRule="exact"/>
        <w:rPr>
          <w:sz w:val="20"/>
          <w:szCs w:val="20"/>
          <w:color w:val="auto"/>
        </w:rPr>
      </w:pPr>
    </w:p>
    <w:p>
      <w:pPr>
        <w:ind w:left="740" w:right="740" w:hanging="368"/>
        <w:spacing w:after="0" w:line="282" w:lineRule="auto"/>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revenues or profitability to us being lower than if we were to market and sell any products we or our collaborators may develop ourselves;</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exercise direct control over sales and marketing activities and personnel;</w:t>
      </w:r>
    </w:p>
    <w:p>
      <w:pPr>
        <w:spacing w:after="0" w:line="225" w:lineRule="exact"/>
        <w:rPr>
          <w:rFonts w:ascii="Times New Roman" w:cs="Times New Roman" w:eastAsia="Times New Roman" w:hAnsi="Times New Roman"/>
          <w:sz w:val="18"/>
          <w:szCs w:val="18"/>
          <w:color w:val="auto"/>
        </w:rPr>
      </w:pPr>
    </w:p>
    <w:p>
      <w:pPr>
        <w:ind w:left="740" w:right="940" w:hanging="368"/>
        <w:spacing w:after="0" w:line="282" w:lineRule="auto"/>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third parties to devote necessary resources and attention to, or other inability to, sell and market any products we or our collaborators may develop;</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disputes with third parties concerning sales and marketing expenses, calculation of royalties and sales and marketing strategies; and</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sales and marketing.</w:t>
      </w:r>
    </w:p>
    <w:p>
      <w:pPr>
        <w:spacing w:after="0" w:line="33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If we do not establish effective commercialization capabilities, either on our own or in collaboration with third parties, we will not be successful in commercializing any of our product candidates that may receive approval.</w:t>
      </w:r>
    </w:p>
    <w:p>
      <w:pPr>
        <w:spacing w:after="0" w:line="15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products we develop alone or with collaborators are smaller than our estimates, or if we are unable to successfully identify enough patients, our revenues may be adversely affected.</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focus some of our research and product development on treatments for rare genetic diseases. Our and our collaborators’ projections of both the number of people who have these diseases, as well as the subset of people with these diseases who have the potential to benefit from treatment with product candidates we may develop, are based on estimates. These estimates may prove to be incorrect, and new studies may change the estimated incidence or prevalence of these diseases. The number of patients in the United States, Europe and elsewhere may turn out to be lower than expected, and patients may not be amenable to treatment with products that we may develop alone or with collaborators, or may become increasingly difficult to identify or gain access to, any of which would decrease our ability to realize revenue from any such products for such diseases.</w:t>
      </w:r>
    </w:p>
    <w:p>
      <w:pPr>
        <w:spacing w:after="0" w:line="183"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potential products will depend in part on the extent to which governmental authorities and health insurers establish coverage, and the adequacy of reimbursement levels and pricing policies, and failure to obtain or maintain coverage and adequate reimbursement for any potential products that may receive approval, could limit marketability of those products and decrease our ability to generate revenue.</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availability of coverage and adequacy of reimbursement by government healthcare programs such as Medicare and Medicaid, private health insurers and other third-party payors is essential for most patients to be able to afford prescription medications such as the potential therapeutic products we develop alone or with collaborators. The ability to achieve acceptable levels of coverage and reimbursement for any potential products that may be approved by governmental authorities will have an effect on our and our collaborators’ ability to successfully commercialize such products. Even if products we develop alone or with collaborators obtain coverage by a third-party payor, the resulting reimbursement payment rates may not be adequate or may require co-payments that patients find unacceptably high. If coverage and reimbursement in the United States, the EU or elsewhere is not available for any products we develop alone or with collaborators that may be approved, or any reimbursement that may become available is decreased or eliminated in the future, we and our collaborators may be unable to commercialize such products.</w:t>
      </w:r>
    </w:p>
    <w:p>
      <w:pPr>
        <w:spacing w:after="0" w:line="1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drugs and biologics. In the United States, third-party payors, including private and governmental payors, such as the Medicare and Medicaid programs, play an important role in determining the extent to which new drugs and biologics will be covered. In August 2019, the CMS published its decision to cover autologous treatment for cancer with T-cells expressing at least one CAR when administered at healthcare facilities enrolled in the FDA risk evaluation and mitigation strategies and used for an FDA-approved indication or for other uses when the product has been FDA-approved and the use is supported in one or more CMS-approved compendia. The Medicare and Medicaid programs increasingly are used as models in the United States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We cannot predict at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this time what third-party payors will decide with respect to the coverage and reimbursement for any product that we develop alone or with collaborators.</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or our collaborators to provide scientific and clinical support for the use of any potential products that may be approved to each payor separately, with no assurance that coverage and adequate reimbursement will be applied consistently or obtained in the first instance. Furthermore, rules and regulations regarding reimbursement change frequently, in some cases on short notice. Obtaining coverage and adequate reimbursement for products we develop alone or with collaborators may be particularly difficult because of the higher prices often associated with drugs administered under the supervision of a physician. In certain instances, payors may not separately reimburse for the product itself, but only for the treatments or procedures in which such product is used. A decision by a third-party payor not to cover or separately reimburse for products that we develop alone or with collaborators or procedures using such products, could reduce physician utilization of any such products that may receive approval.</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Third-party payors are increasingly challenging prices charged for pharmaceutical products and services, and many third-party payors may refuse to provide coverage and reimbursement for particular drugs or biologics when an equivalent generic drug, biosimilar or a less expensive therapy is available. If approved, it is possible that a third-party payor may consider any products that we develop alone or with collaborators as substitutable and only offer to reimburse patients for the less expensive product. Pricing of existing third-party therapeutics may limit the amount we will be able to charge for any products that may receive approval even if we or our collaborators show improved efficacy or improved convenience of administration such products. These payors may deny or revoke the reimbursement status of a given product or establish prices for new or existing marketed products at levels that are too low to enable us to realize an appropriate return on our investment in the product. If reimbursement is not available or is available only at limited levels, we or our collaborators may not be able to successfully commercialize any of the products that we develop, even if approved, and we may not be able to obtain a satisfactory financial return on them. 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any products we develop alone or with collaborators that may receive approval. We expect to experience pricing pressures in connection with the sale of any products that may receive approval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19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cost-containment initiatives in Europe and elsewhere have and will continue to put pressure on the pricing and usage of any products we develop alone or with collaborators that may receive approval. In many countries, the prices of medical products are subject to varying price control mechanisms as part of national health systems. Other countries allow companies to fix their own prices for medical products, but monitor and control company profits. Additional international price controls or other changes in pricing regulation could restrict the amount that we or our collaborators are able to charge for products that we develop that may receive approval. Accordingly, in markets outside the United States, the reimbursement for such products may be reduced compared with the United States and may be insufficient to generate commercially reasonable revenue and profits.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for which we intend to seek approval as biologic products may face competition sooner than anticipated.</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we are successful in achieving regulatory approval to commercialize any biologic product candidate we develop alone or with collaborators, it may face competition from biosimilar products. In the United States, our product candidates are regulated by the FDA as biologic products subject to approval under the BLA pathway. The BPCIA created an abbreviated pathway for the approval of biosimilar and interchangeable biologic products following the approval of an original BLA.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may not be submitted until four years following the date that the reference product was first licensed by the FDA. In addition, the approval of a biosimilar product may not be made effective by the FDA until 12 years after the reference product was first licensed by the FDA.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p>
    <w:p>
      <w:pPr>
        <w:spacing w:after="0" w:line="19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believe that any of our product candidates that are approved as biological products under a BLA should qualify for the 12-year period of exclusivity. However, there is a risk that this exclusivity could be shortened due to congressional action or otherwise, or that the FDA will not consider such product candidates to be reference products for competing products, potentially creating the opportunity for generic competition sooner than anticipated. If competitors are able to obtain marketing approval for biosimilars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66" w:name="page67"/>
    <w:bookmarkEnd w:id="66"/>
    <w:p>
      <w:pPr>
        <w:ind w:right="200"/>
        <w:spacing w:after="0" w:line="282" w:lineRule="auto"/>
        <w:rPr>
          <w:sz w:val="20"/>
          <w:szCs w:val="20"/>
          <w:color w:val="auto"/>
        </w:rPr>
      </w:pPr>
      <w:r>
        <w:rPr>
          <w:rFonts w:ascii="Times New Roman" w:cs="Times New Roman" w:eastAsia="Times New Roman" w:hAnsi="Times New Roman"/>
          <w:sz w:val="18"/>
          <w:szCs w:val="18"/>
          <w:color w:val="auto"/>
        </w:rPr>
        <w:t>referencing any products that we develop alone or with collaborators that may be approved, such products may become subject to competition from such biosimilars, with the attendant competitive pressure and potential adverse consequences.</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Jurisdictions in addition to the U.S. have established abbreviated pathways for regulatory approval of biological products that are biosimilar to earlier approved reference products. For example, the EU has had an established regulatory pathway for biosimilars since 2006.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 Structure and Operations</w:t>
      </w:r>
    </w:p>
    <w:p>
      <w:pPr>
        <w:spacing w:after="0" w:line="2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ongoing novel coronavirus disease, COVID-19 has impacted, and may continue to impact, our business, and any other pandemic, epidemic or outbreak of an infectious disease may materially and adversely impact our business, including our preclinical studies and clinical trials.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March 2020, the World Health Organization designated the outbreak of the novel strain of coronavirus known as COVID-19 as a global pandemic. The ongoing pandemic and government measures taken in response have also had a significant impact, both direct and indirect, on businesses and commerce, as worker shortages have occurred; supply chains and manufacturing, including our own, have been disrupted; facilities and production have been suspended; and demand for certain goods and services, such as medical services and supplies, has spiked, while demand for other goods and services, such as travel, has fallen. In response to the impact of COVID-19 and its variants and in accordance with guidance from the CDC and the State of North Carolina, we have implemented measures to mitigate exposure risks and support operations. The health and safety program we have initiated requiring use of face masks, mandatory vaccinations, social distancing, sanitary handwashing practices, use of personal protective equipment stations, stringent cleaning and sanitization of all facilities and measures to reduce total occupancy in facilities, as well as temperature and symptom screening procedures at each location may not sufficiently protect our employees. Any additional resurgence of outbreaks, new regulatory orders or guidance, or self-imposed protective measures we impose could require reversal of our previously eased restrictions to our on-site activities and, as a result, adversely impact our business, including our preclinical studies and clinical trials.</w:t>
      </w:r>
    </w:p>
    <w:p>
      <w:pPr>
        <w:spacing w:after="0" w:line="19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a result of the COVID-19 pandemic and its variants or other pandemic, epidemic or outbreak of an infectious disease, we have and may continue to experience disruptions that could severely impact our business, preclinical studies and clinical trials, including:</w:t>
      </w:r>
    </w:p>
    <w:p>
      <w:pPr>
        <w:spacing w:after="0" w:line="54" w:lineRule="exact"/>
        <w:rPr>
          <w:sz w:val="20"/>
          <w:szCs w:val="20"/>
          <w:color w:val="auto"/>
        </w:rPr>
      </w:pPr>
    </w:p>
    <w:p>
      <w:pPr>
        <w:ind w:left="740" w:hanging="368"/>
        <w:spacing w:after="0"/>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clinical trials;</w:t>
      </w:r>
    </w:p>
    <w:p>
      <w:pPr>
        <w:spacing w:after="0" w:line="225" w:lineRule="exact"/>
        <w:rPr>
          <w:rFonts w:ascii="Times New Roman" w:cs="Times New Roman" w:eastAsia="Times New Roman" w:hAnsi="Times New Roman"/>
          <w:sz w:val="18"/>
          <w:szCs w:val="18"/>
          <w:color w:val="auto"/>
        </w:rPr>
      </w:pPr>
    </w:p>
    <w:p>
      <w:pPr>
        <w:ind w:left="740" w:right="300" w:hanging="368"/>
        <w:spacing w:after="0" w:line="282" w:lineRule="auto"/>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clinical site staff and IRB approval required to begin a clinical trial at a site;</w:t>
      </w:r>
    </w:p>
    <w:p>
      <w:pPr>
        <w:spacing w:after="0" w:line="161" w:lineRule="exact"/>
        <w:rPr>
          <w:rFonts w:ascii="Times New Roman" w:cs="Times New Roman" w:eastAsia="Times New Roman" w:hAnsi="Times New Roman"/>
          <w:sz w:val="18"/>
          <w:szCs w:val="18"/>
          <w:color w:val="auto"/>
        </w:rPr>
      </w:pPr>
    </w:p>
    <w:p>
      <w:pPr>
        <w:ind w:left="740" w:right="280" w:hanging="368"/>
        <w:spacing w:after="0" w:line="282" w:lineRule="auto"/>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61" w:lineRule="exact"/>
        <w:rPr>
          <w:rFonts w:ascii="Times New Roman" w:cs="Times New Roman" w:eastAsia="Times New Roman" w:hAnsi="Times New Roman"/>
          <w:sz w:val="18"/>
          <w:szCs w:val="18"/>
          <w:color w:val="auto"/>
        </w:rPr>
      </w:pPr>
    </w:p>
    <w:p>
      <w:pPr>
        <w:jc w:val="both"/>
        <w:ind w:left="740" w:right="360" w:hanging="368"/>
        <w:spacing w:after="0" w:line="266" w:lineRule="auto"/>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17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w:t>
      </w:r>
    </w:p>
    <w:p>
      <w:pPr>
        <w:spacing w:after="0" w:line="225" w:lineRule="exact"/>
        <w:rPr>
          <w:rFonts w:ascii="Times New Roman" w:cs="Times New Roman" w:eastAsia="Times New Roman" w:hAnsi="Times New Roman"/>
          <w:sz w:val="18"/>
          <w:szCs w:val="18"/>
          <w:color w:val="auto"/>
        </w:rPr>
      </w:pPr>
    </w:p>
    <w:p>
      <w:pPr>
        <w:ind w:left="740" w:right="220" w:hanging="368"/>
        <w:spacing w:after="0" w:line="282" w:lineRule="auto"/>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manufacturing, including, without limitation interruption of, or delays in receiving, supplies of our product candidates from our contract manufacturing organizations due to staffing shortages, production slowdowns or stoppages and disruptions in delivery systems;</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preclinical studies due to restricted or limited operations at our laboratory facility;</w:t>
      </w:r>
    </w:p>
    <w:p>
      <w:pPr>
        <w:spacing w:after="0" w:line="225" w:lineRule="exact"/>
        <w:rPr>
          <w:rFonts w:ascii="Times New Roman" w:cs="Times New Roman" w:eastAsia="Times New Roman" w:hAnsi="Times New Roman"/>
          <w:sz w:val="18"/>
          <w:szCs w:val="18"/>
          <w:color w:val="auto"/>
        </w:rPr>
      </w:pPr>
    </w:p>
    <w:p>
      <w:pPr>
        <w:ind w:left="740" w:right="40" w:hanging="368"/>
        <w:spacing w:after="0" w:line="282" w:lineRule="auto"/>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 and</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to our sourced discovery and clinical activities.</w:t>
      </w:r>
    </w:p>
    <w:p>
      <w:pPr>
        <w:spacing w:after="0" w:line="33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COVID-19 pandemic and its variants continues to evolve. Disruptions, supply chain constraints and timeline impacts, competing resource demands and safety concerns caused by the COVID-19 pandemic and its variants have caused, and may continue to cause, delays in our clinical trial site activation and our ability to enroll patients. Supply chain constraints affecting the industry have also impacted our business. Lead times for certain single-use components have been extended, and global impacts from the COVID-19 pandemic could lead to longer timelines or greater costs in the future. Additionally, we have experienced and may also experience other difficulties, disruptions or delays in conducting preclinical studies or initiating, enrolling, conducting or completing our planned and ongoing clinical trials, and we may incur other unforeseen costs as a result. The extent to which the COVID-19 pandemic impacts our business, preclinical studies and clinical trials will depend on future developments, which are highly uncertain and cannot be predicted with confidence, such as the duration of the pandemic, emergence of additional new variants, business closures or business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67" w:name="page68"/>
    <w:bookmarkEnd w:id="67"/>
    <w:p>
      <w:pPr>
        <w:ind w:right="140"/>
        <w:spacing w:after="0" w:line="256" w:lineRule="auto"/>
        <w:rPr>
          <w:sz w:val="20"/>
          <w:szCs w:val="20"/>
          <w:color w:val="auto"/>
        </w:rPr>
      </w:pPr>
      <w:r>
        <w:rPr>
          <w:rFonts w:ascii="Times New Roman" w:cs="Times New Roman" w:eastAsia="Times New Roman" w:hAnsi="Times New Roman"/>
          <w:sz w:val="18"/>
          <w:szCs w:val="18"/>
          <w:color w:val="auto"/>
        </w:rPr>
        <w:t>disruptions and the effectiveness of actions taken in the United States and other countries to contain and treat the disease. If we or any of the third parties with whom we engage were to experience shutdowns or any further business disruptions, our ability to conduct our business in the manner and on the timelines presently planned could be materially and negatively impacted. Additionally, the magnitude of the economic impact brought by and the duration of COVID-19 pandemic and its variants including sustained inflation, supply chain disruptions, and major central bank policy actions continues to be difficult to assess or predict and may continue to result in significant disruption of global financial markets, which may have a negative impact on our preclinical studies and clinical trials or reduce our ability to access capital, negatively affecting our liquidity.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expand our organization, and we may experience difficulties in managing this growth, which could disrupt our operations.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June 30, 2022, we had 192 full-time employees. We will need to significantly expand our organization, and our future financial performance, ability to develop and commercialize product candidates alone or with collaborators and ability to compete effectively will depend in part on our ability to effectively manage any future growth. We may have difficulty identifying, hiring and integrating new personnel. Many of the biotechnology companies that we compete against for qualified personnel and consultants have greater financial and other resources, different risk profiles and a longer history than we do. If we are unable to continue to attract and retain high-quality personnel and consultants, the rate and success at which we can identify and develop product candidates, enter into collaborative arrangements and otherwise operate our business will be limited.</w:t>
      </w:r>
    </w:p>
    <w:p>
      <w:pPr>
        <w:spacing w:after="0" w:line="18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Future growth would impose significant additional responsibilities on our management, including the need to identify, recruit, maintain, motivate and integrate additional employees, consultants and contractors.</w:t>
      </w:r>
    </w:p>
    <w:p>
      <w:pPr>
        <w:spacing w:after="0" w:line="16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Management may need to divert a disproportionate amount of its attention away from our day-to-day activities and devote a substantial amount of time to managing these growth activities. Due to our limited financial resources and the limited experience of our management team in managing a company with such anticipated growth, we may not be able to effectively manage the expected expansion of our operations or recruit and train additional qualified personnel. Moreover, the expected physical expansion of our operations may lead to significant costs and may divert our management and business development resources from other projects, such as the development of product candidates. If we are not able to effectively manage the expansion of our operations, it may result in weaknesses in our infrastructure, increase our expenses more than expected, give rise to operational mistakes, loss of business opportunities, loss of employees and reduced productivity. Our future financial performance, ability to successfully commercialize any of our product candidates and our ability to compete effectively will depend, in part, on our ability to effectively manage any future growth.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engage in transactions that could disrupt our business, cause dilution to our stockholders or reduce our financial resources.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future, we may enter into transactions to acquire or in-license rights to product candidates, products or technologies or to acquire other businesses. If we do identify suitable candidates, we may not be able to enter into such transactions on favorable terms, or at all. Any such acquisitions or in-licenses may not strengthen our competitive position, and these transactions may be viewed negatively by customers or investors. We may decide to incur debt in connection with an acquisition or in-license, which may negatively impact our financial condition and restrict our operations, or issue our common stock or other equity securities to the stockholders of the acquired company, which would reduce the percentage ownership of our existing stockholders. We could incur losses resulting from undiscovered liabilities of the acquired business that are not covered by the indemnification we may obtain from the sellers of the acquired business. In addition, we may not be able to successfully integrate the acquired personnel, technologies and operations into our existing business in an effective, timely and non-disruptive manner. Such transactions may also divert management attention from day-to-day responsibilities, increase our expenses and reduce our cash available for operations and other uses. We cannot predict the number, timing or size of future acquisitions or in-licenses or the effect that they might have on our operating results.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key executives, as well as attracting, retaining and motivating qualified personnel.</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are highly dependent on the research and development experience, technical skills, leadership and continued service of certain members of our management and scientific teams. Although we have formal employment agreements with our executive officers, these agreements do not prevent them from terminating their employment with us at any time. The loss of the services of any of these persons could impede the achievement of our research, development and commercialization objectives.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if we retain commercialization responsibility for any product candidate we develop alone or with collaborators, sales and marketing personnel will also be critical to our success. We may not be able to attract new or successor personnel on acceptable terms or at all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68" w:name="page69"/>
    <w:bookmarkEnd w:id="68"/>
    <w:p>
      <w:pPr>
        <w:spacing w:after="0" w:line="261" w:lineRule="auto"/>
        <w:rPr>
          <w:sz w:val="20"/>
          <w:szCs w:val="20"/>
          <w:color w:val="auto"/>
        </w:rPr>
      </w:pPr>
      <w:r>
        <w:rPr>
          <w:rFonts w:ascii="Times New Roman" w:cs="Times New Roman" w:eastAsia="Times New Roman" w:hAnsi="Times New Roman"/>
          <w:sz w:val="18"/>
          <w:szCs w:val="18"/>
          <w:color w:val="auto"/>
        </w:rPr>
        <w:t>assist us in formulating our research and development and commercialization strategies. Our consultants and advisors may be employed by employers other than us and may have commitments under consulting or advisory contracts with other entities that may limit their availability to us. The inability to recruit, integrate, motivate and retain additional skilled and qualified personnel, or the loss of services of certain executives, key employees, consultants or advisors, may impede the progress of our research, development and commercialization objectives and have a material adverse effect on our business.</w:t>
      </w:r>
    </w:p>
    <w:p>
      <w:pPr>
        <w:spacing w:after="0" w:line="17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increased costs as a result of operating as a public company, and our management will be required to devote substantial time to maintaining compliance initiatives and corporate governance practices, including establishing and maintaining proper and effective internal control over financial reporting.</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We are subject to the Securities Exchange Act of 1934, as amended, or the Exchange Act, including the reporting requirements thereunder, the Sarbanes-Oxley Act of 2002, the Dodd-Frank Wall Street Reform and Consumer Protection Act, the listing requirements of The Nasdaq Stock Market LLC (“Nasdaq”) and other applicable securities rules and regulations, including requirements related to the establishment and maintenance of effective disclosure and financial controls and corporate governance practices. Our management and other personnel will need to continue to devote a substantial amount of time to these compliance initiatives. Moreover, these rules and regulations have increased our legal and financial compliance costs, making some activities more difficult, time consuming or costly, and increasing demand on our systems and resources.</w:t>
      </w:r>
    </w:p>
    <w:p>
      <w:pPr>
        <w:spacing w:after="0" w:line="18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of 2002 (“Section 404”) we are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of the Sarbanes-Oxley Act within the prescribed period, we will be engaged in a process to document and evaluate our internal control over financial reporting, which is both costly and challenging. We may need to hire more employees in the future or engage outside consultants to comply with these requirements, which will further increase our costs and expenses. If we fail to implement the requirements of Section 404 of the Sarbanes-Oxley Act in the required timeframe, we may be subject to sanctions or investigations by regulatory authorities, including the SEC and Nasdaq. Furthermore, if we are unable to conclude that our internal control over financial reporting is effective, our investors may lose confidence in the accuracy and completeness of our financial reports, the market price of our common stock could decline, and we could be subject to sanctions or investigations by regulatory authorities. Failure to implement or maintain an effective internal control system could also restrict our future access to the capital markets.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may suffer in the event of system failures or security breaches which could materially affect our results.</w:t>
      </w:r>
    </w:p>
    <w:p>
      <w:pPr>
        <w:spacing w:after="0" w:line="2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Despite the implementation of security measures, our information technology systems, as well as those of third parties with which we have relationships, are vulnerable to attack and damage from computer viruses and malware (e.g., ransomware), unauthorized access, natural and manmade disasters, terrorism, war and telecommunication and electrical failures, malfeasance by external or internal parties, and human error (e.g., social engineering, phishing). The aforementioned third parties with which we have relationships include service providers and vendors who provide to us a broad array of software and other technologies as well as products, services and functions (e.g., human resources, finance, communications, data transmission, risk, compliance) that enable us to conduct, monitor and/or protect our business, operations, systems and data assets.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Attacks upon information technology systems are increasing in their frequency, levels of persistence, sophistication and intensity, and are being conducted by sophisticated and organized groups and individuals with a wide range of motives and expertise. Furthermore, because the technologies used to obtain unauthorized access to, or to sabotage or disrupt,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As a result of the COVID-19 pandemic and its variants, we may also face increased cybersecurity risks due to our reliance on internet technology and the number of our and our service providers’ employees who are (and may continue to be) working remotely, which may create additional opportunities for cybercriminals to exploit vulnerabilities. The White House, SEC and other regulators have also increased their focus on companies’ cybersecurity vulnerabilities and risks.</w:t>
      </w:r>
    </w:p>
    <w:p>
      <w:pPr>
        <w:spacing w:after="0" w:line="18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or our critical third parties’ operations, it could result in delays and/or material disruptions of our research and development programs, our operations and ultimately, our financial results. For example, the loss of trial data from completed, ongoing or planned trials could result in delays in our regulatory approval efforts and significantly increase our costs to recover or reproduce the data. To the extent that any disruption or security breach were to result in a loss of or damage to data or applications, or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69" w:name="page70"/>
    <w:bookmarkEnd w:id="69"/>
    <w:p>
      <w:pPr>
        <w:ind w:right="120"/>
        <w:spacing w:after="0" w:line="266" w:lineRule="auto"/>
        <w:rPr>
          <w:sz w:val="20"/>
          <w:szCs w:val="20"/>
          <w:color w:val="auto"/>
        </w:rPr>
      </w:pPr>
      <w:r>
        <w:rPr>
          <w:rFonts w:ascii="Times New Roman" w:cs="Times New Roman" w:eastAsia="Times New Roman" w:hAnsi="Times New Roman"/>
          <w:sz w:val="18"/>
          <w:szCs w:val="18"/>
          <w:color w:val="auto"/>
        </w:rPr>
        <w:t>inappropriate disclosure of personal, confidential or proprietary information, we could incur liability due to delays in the development of our product candidates and/or due to reputational harm, litigation, regulatory investigations and enforcement, fines and penalties, or increased costs of compliance and system remediation. Any losses, costs or liabilities may not be covered by, or may exceed the coverage limits of, any or all applicable insurance policies.</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Federal, state and foreign legislators and regulators globally have enacted or proposed legal requirements regarding the collection, distribution, disclosure, use, processing, security and storage of personally identifiable information and other types of regulated data, including online information and data online. In the ordinary course of our business, we and third parties with which we have relationships will continue to collect and store sensitive data, including intellectual property, clinical trial data, proprietary business information, personal data and personally identifiable information of our clinical trial subjects and employees, in data centers and on networks. The secure processing, maintenance and transmission of this information is critical to our operations. Despite security measures that we and our critical third parties (e.g., collaborators) implement, our information technology and infrastructure may be vulnerable to attacks by hackers or internal bad actors, breaches due to human error, technical vulnerabilities, malfeasance or other disruptions. A number of proposed and enacted federal, state and international laws and regulations obligate companies to notify individuals and other parties of security breaches involving particular types of information, which could result from breaches experienced by us or by third parties, including collaborators, vendors, contractors or other organizations with which we have formed relationships that involve the handling or processing of such information.</w:t>
      </w:r>
    </w:p>
    <w:p>
      <w:pPr>
        <w:spacing w:after="0" w:line="1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Although, to our knowledge, neither we nor any such third parties have experienced any material security breach or incident involving the unauthorized disclosure or misuse of sensitive information, and even though we may have contractual protections with third parties who process or handle sensitive information, any breach could compromise our or their networks and the information stored there could be accessed, publicly disclosed, lost or stolen. Any such access, disclosure, notifications, follow-up actions related to such a security breach or other loss of information could result in legal claims or proceedings, liability under laws that protect the privacy of personal information and significant costs, including regulatory penalties, fines and legal expenses, and such an event could disrupt our operations, cause us to incur remediation costs, damage our reputation and cause a loss of confidence in us and our or such third parties’ ability to conduct clinical trials, which could adversely affect our reputation and delay our research and development programs.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only from some business risks, which leaves us exposed to significant uninsured liabilities.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If we obtain marketing approval for any product candidates that we or our collaborators may develop, we intend to acquire insurance coverage to include the sale of commercial products, but we may be unable to obtain such insurance on commercially reasonable terms or in adequate amounts. We do not carry specific biological or hazardous waste insurance coverage, and our property, casualty and general liability insurance policies specifically exclude coverage for damages and fines arising from biological or hazardous waste exposure or contamination.</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Accordingly, in the event of contamination or injury, we could be held liable for damages or be penalized with fines in an amount exceeding our resources, and clinical trials or regulatory approvals for any of our product candidates could be suspended. We also expect that operating as a public company will make it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our board committees or as our executive officers.</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Insurance coverage is becoming increasingly expensive, and in the future we may not be able to maintain insurance coverage at a reasonable cost or in sufficient amounts to protect us against losses. We do not know if we will be able to maintain existing insurance with adequate levels of coverage, and any liability insurance coverage we acquire in the future may not be sufficient to reimburse us for any expenses or losses we may suffer. A successful liability claim or series of claims brought against us could require us to pay substantial amounts and cause our share price to decline and, if judgments exceed our insurance coverage, could adversely affect our results of operations and business, including preventing or limiting the development and commercialization of any product candidates that we or our collaborators may develop.</w:t>
      </w:r>
    </w:p>
    <w:p>
      <w:pPr>
        <w:spacing w:after="0" w:line="183"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of our contract manufacturers or other suppliers fail to comply with environmental, health and safety laws and regulations, we could become subject to fines or penalties or incur significant costs.</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and any of our contract manufacturers and suppliers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70" w:name="page71"/>
    <w:bookmarkEnd w:id="70"/>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(under which we currently have an aggregate of approximately $10 million in coverage)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for any product candidate we develop alone or with collaborators could be suspended, which could have a material adverse effect on our business and financial condition.</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regulations and permitting requirements, and any third-party contract manufacturers and suppliers we engage will also be subject to such current and future regulations and requirements. These current or future laws, regulations and permitting requirements may impair our research, development or production efforts. Failure to comply with these laws, regulations and permitting requirements, either by us or by any third-party contract manufacturers and suppliers we engage, also may result in substantial fines, penalties or other sanctions or business disruption.</w:t>
      </w:r>
    </w:p>
    <w:p>
      <w:pPr>
        <w:spacing w:after="0" w:line="17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including our current and future relationships with third parties, may expose us to penalties for potential misconduct or improper activity, including non-compliance with regulatory standards and requirements.</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Complex laws constrain our business and the financial arrangements and relationships through which we conduct our operations, including how we may research, market, sell and distribute product candidates alone or with collaborators. We are exposed to the risk of fraud or other misconduct by our employees, consultants and collaborators and, if we or our collaborators commence clinical trials and proceed to commercialization, our principal investigators and commercial partners, as well as healthcare professionals, third-party payors, patient organizations and customers. For example, misconduct by these parties could include intentional failures to comply with FDA regulations or the regulations applicable in the EU and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false and/or misleading statements, corruption of government officials, self-dealing and other abusive practices. These laws and regulations restrict or prohibit a wide range of pricing, discounting, marketing, promotion, sales commission and customer incentive programs and other business arrangements. Such misconduct also could involve the improper use or misrepresentation of information obtained in the course of clinical trials, creating fraudulent data in preclinical studies or clinical trials, illegal misappropriation of study materials or other property, or improper interactions with the FDA or other regulatory authorities, which could result in regulatory sanctions and cause serious harm to our or our collaborators’ reputations.</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Ensuring that our internal operations and current and future business arrangements with third parties comply with applicable healthcare laws and regulations will involve substantial costs. Additionally, we are subject to the risk that a person or government could allege such fraud or other misconduct, even if none occurred.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additional reporting requirements and oversight if subject to a corporate integrity agreement or similar agreement to resolve allegations of non-compliance with these laws,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similar penalties, such as criminal, civil or administrative sanctions, including exclusions from government-funded healthcare programs and imprisonment, which could affect our ability to operate our business. Further, defending against any such actions can be costly and time-consuming and may require significant personnel resources. Therefore, even if we are successful in defending against any such actions that may be brought against us, our business may be impaired.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71" w:name="page72"/>
    <w:bookmarkEnd w:id="71"/>
    <w:p>
      <w:pPr>
        <w:ind w:right="140"/>
        <w:spacing w:after="0" w:line="256" w:lineRule="auto"/>
        <w:rPr>
          <w:sz w:val="20"/>
          <w:szCs w:val="20"/>
          <w:color w:val="auto"/>
        </w:rPr>
      </w:pPr>
      <w:r>
        <w:rPr>
          <w:rFonts w:ascii="Times New Roman" w:cs="Times New Roman" w:eastAsia="Times New Roman" w:hAnsi="Times New Roman"/>
          <w:sz w:val="18"/>
          <w:szCs w:val="18"/>
          <w:color w:val="auto"/>
        </w:rPr>
        <w:t>We have adopted policies applicable to all of our employees, but it is not always possible to identify and deter employee misconduct, and the precautions we take to detect and prevent such activity may not be effective in controlling unknown or unmanaged risks or losses or in protecting us from government investigations or other actions or lawsuits stemming from a failure to comply with applicable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result in the imposition of any of the penalties discussed above and have a significant impact on our business and financial condition.</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complex tax rules relating to our business, and any audits, investigations or tax proceedings could have a material adverse effect on our business, results of operations and financial condition.</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subject to income and non-income taxes in the United States. Income tax accounting often involves complex issues, and judgment is required in determining our provision for income taxes and other tax liabilities. In June 2019 we formed a subsidiary in the UK, and we may operate in other foreign jurisdictions in the future. We could become subject to income and non-income taxes in foreign jurisdictions as well. In addition, many jurisdictions have detailed transfer pricing rules, which require that all transactions with non-resident related parties be priced using arm’s length pricing principles within the meaning of such rules. The application of withholding tax, goods and services tax, sales taxes and other non-income taxes is not always clear and we may be subject to tax audits relating to such withholding or non-income taxes. We believe that our tax positions are reasonable and our tax reserves are adequate to cover any potential liability. We are currently not subject to any tax audits. However, the Internal Revenue Service (“IRS”) or other taxing authorities may disagree with our positions. If the IRS or any other tax authorities were successful in challenging our positions, we may be liable for additional tax and penalties and interest related thereto or other taxes, as applicable, in excess of any reserves established therefor, which may have a significant impact on our results and operations and future cash flow.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utilize all, or any, of our net operating loss carryforwards.</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have incurred substantial losses during our history, do not expect to become profitable in the near future, and we may not achieve profitability. As of December 31, 2021, we had U.S. federal, state, and foreign net operating loss (“NOL”) carryforwards of $181.0 million, $122.2 million, and $0.4 million, respectively. Our federal NOL carryforwards of $19.7 million will begin to expire in 2030 while the remaining federal NOL carryforwards of $161.2 million carry forward indefinitely. The state NOL carryforwards begin to expire in 2025. In addition, as of December 31, 2021, we have U.S. federal and state research and development (“R&amp;D”) tax credits of $11.4 million and an amount less than $0.1 million available to offset future U.S. federal and state income taxes, which begin to expire in 2027 and 2030, respectively. At December 31, 2021 and December 31, 2020, we had federal Orphan Drug credits of $9.5 million and $6.0 million, respectively, which begin to expire in 2038.</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Changes in tax laws or regulations may adversely impact our ability to utilize all, or any, of our NOL carryforwards. For example, legislation enacted in 2017, informally titled the Tax Cuts and Jobs Act (the “TCJA”), significantly revised the Internal Revenue Code of 1986, as amended. Future guidance from the IRS and other tax authorities with respect to the TCJA may affect us, and certain aspects of the TCJA could be repealed or modified in future legislation. For example, the Coronavirus Aid, Relief, and Economic Security Act (the “CARES Act”) modified certain provisions of the TCJA. Under the CARES Act, NOLs arising in a tax year beginning after December 31, 2017, and before January 1, 2021, generally may now be carried back five years. Under the TCJA, as modified by the CARES Act, unused losses generated in taxable years ending after December 31, 2017 will not expire and may be carried forward indefinitely, but the deductibility of such NOLs in tax years beginning after December 31, 2020, is limited to 80% of taxable income. It is uncertain if and to what extent various states will conform to the to the TCJA or the CARES Act.</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of June 30, 2022, we have a valuation allowance for the full amount of our net deferred tax assets as the realization of the net deferred tax assets is not determined to be more likely than not. In addition, Sections 382 and 383 of the Code limit a corporation’s ability to utilize its NOL carryforwards and certain other tax attributes (including research credits) to offset any future taxable income or tax if the corporation experiences a cumulative ownership change of more than 50% over any rolling three-year period. State NOL carryforwards (and certain other tax attributes) may be similarly limited. A Section 382 ownership change can therefore result in significantly greater tax liabilities than a corporation would incur in the absence of such a change, and any increased liabilities could adversely affect the corporation’s business, results of operations, financial condition and cash flow. We have not yet determined if any prior change in the ownership of our equity or any change in such ownership in connection with our IPO, would trigger a Section 382 ownership change. It is possible that such a Section 382 ownership change has already occurred in prior periods. Furthermore, additional ownership changes may occur in the future as a result of events over which we will have little or no control, including purchases and sales of our equity by our 5% stockholders, the emergence of new 5% stockholders, additional equity offerings or redemptions of our stock or certain changes in the ownership of any of our 5% stockholders. As a result, our pre-2018 NOL carryforwards (and research tax credits) may expire prior to being used, and our NOL carryforwards and tax credits generated in 2018 and thereafter will be subject to a percentage limitation, upon an ownership change. Similar provisions of state tax law may also apply to limit our use of accumulated state tax attributes. As a result, even if we attain profitability, we may be unable to use all or a material portion of our NOLs and other tax attributes, which could adversely affect our future cash flows.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ind w:right="5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entered into significant arrangements with collaborators and expect to depend on collaborations with third parties for certain research, development and commercialization activities, and if any such collaborations are not successful, it may harm our business and prospects.</w:t>
      </w:r>
    </w:p>
    <w:p>
      <w:pPr>
        <w:spacing w:after="0" w:line="13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We have sought in the past, and anticipate that we will continue to seek in the future, third-party collaborators for the research, development and commercialization of certain product candidates and the research and development of certain technologies. For example, we are party to the Lilly Agreement and Novartis Agreement. Under these agreements, we are focused on research and development of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gene editing products that utilize or incorporate our ARCUS nucleases. Our likely collaborators for other product research and development arrangements include large and mid-size pharmaceutical and biotechnology companies, and our likely collaborators for other technology research and development arrangements include universities and other research institutions.</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Working with collaborators poses several significant risks. We have limited control over the amount and timing of resources that our collaborators dedicate to the product candidates or technologies we may seek to develop with them. A variety of factors may impact resource allocation decisions of collaborators, such as study or trial results, changes in the collaborator’s strategic focus, turnover in personnel responsible for the development activities, financial capacity or external factors such as a business combination or change in control that diverts resources or creates competing priorities. Collaboration agreements may not lead to development or commercialization of product candidates or the development of technologies in the most efficient manner or at all. Resource allocation and other developmental decisions made by our collaborators may result in the delay or termination of research programs, studies or trials, repetition of or initiation of new studies or trials or provision of insufficient funding or resources for the completion of studies or trials or the successful marketing and distribution of any product candidates that may receive approval. Collaborators could independently develop, or develop with third parties, product candidates or technologies that compete directly or indirectly with our product candidates or technologies if the collaborators believe that competitive products or technologies are more likely to be successfully developed or can be commercialized under terms that are more economically attractive than ours. Collaborators may not properly obtain, maintain, enforce or defend our intellectual property or proprietary rights or may use our proprietary information in such a way that could jeopardize or invalidate our proprietary information or expose us to potential litigation. Disputes may arise between us and our collaborators that result in the delay or termination of the research, development or commercialization activities or that result in costly litigation or arbitration that diverts management attention and resources.</w:t>
      </w:r>
    </w:p>
    <w:p>
      <w:pPr>
        <w:spacing w:after="0" w:line="19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Our ability to generate revenues from these arrangements will depend on our collaborators’ abilities to successfully perform the functions assigned to them in these arrangements. If our collaborations do not result in the successful development and commercialization of product candidates or technologies, or if one of our collaborators terminates its agreement with us, we may not receive any future funding or milestone or royalty payments under the collaboration. If we do not receive the funding we expect under these agreements, our development of product candidates or technologies could be delayed, and we may need additional resources to develop such product candidates or technologies. For example, we waived earned, but unpaid milestone payments in connection with the termination of the Servier Agreement. If any of our collaborators terminates its agreement with us, we may be unable to find a suitable replacement collaborator or attract new collaborators and may need to raise additional capital to pursue further development or commercialization of the applicable product candidates or technologies. These events could delay development programs, negatively impact the perception of our company in business and financial communities or cause us to have to cease development of the product candidate covered by the collaboration arrangement. Failure to develop or maintain relationships with any current collaborators could result in the loss of opportunity to work with that collaborator or reputational damage that could impact our relationships with other collaborators in the relatively small industry communities in which we operate. Moreover, all of the risks relating to product development, regulatory approval and commercialization described in this Quarterly Report on Form 10-Q apply to the activities of our collaborators. If our existing collaboration agreements or any collaborative or strategic relationships we may establish in the future are not effective and successful, it may damage our reputation and business prospects, delay or prevent the development and commercialization of product candidates and inhibit or preclude our ability to realize any revenues.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73" w:name="page74"/>
    <w:bookmarkEnd w:id="73"/>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establish collaborations on commercially reasonable terms, we may have to alter our research, development and commercialization plans.</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research and product development programs and the potential commercialization of any product candidates we develop alone or with collaborators will require substantial additional cash to fund expenses, and we expect that we will continue to seek collaborative arrangements with others in connection with the development and potential commercialization of current and future product candidates or the development of ancillary technologies. We face significant competition in establishing relationships with appropriate collaborators. In addition,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among other things and as applicable for the type of potential product or technology, an assessment of the opportunities and risks of our technology, the design or results of studies or trials, the likelihood of approval, if necessary, by the FDA or similar regulatory authorities outside the United States, the potential market for the subject product candidate, the costs and complexities of manufacturing and delivering such product candidate to patients, the potential of competing products and technologies and industry and market conditions generally.</w:t>
      </w:r>
    </w:p>
    <w:p>
      <w:pPr>
        <w:spacing w:after="0" w:line="19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Current or future collaborators may also consider alternative product candidates or technologies for similar indications that may be available to collaborate on and whether such a collaboration could be more attractive than the one with us. Additionally, we may be restricted under existing collaboration agreements from entering into future agreements on certain terms or for certain development activities with potential collaborators. For example, we have granted exclusive rights or options to Lilly and Novartis for certain targets, and during the term of our collaboration agreements we will be restricted from granting rights to other parties to use our ARCUS technology to pursue potential products that address those targets. Similarly, our collaboration agreements have in the past and may in the future contain non-competition provisions that could limit our ability to enter into strategic collaborations with future collaborators.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Collaborations are complex and time-consuming to negotiate and document. We may not be able to negotiate collaborations on a timely basis, on acceptable terms, or at all. If we do enter into additional collaboration agreements, the negotiated terms may force us to relinquish rights that diminish our potential profitability from development and commercialization of the subject product candidates or others. If we are unable to enter into additional collaboration agreements, we may have to curtail the research and development of the product candidate or technology for which we are seeking to collaborate, reduce or delay research and development programs, delay potential commercialization timelines, reduce the scope of any sales or marketing activities or undertake research, development or commercialization activities at our own expense. If we elect to increase our expenditures to fund research, development or commercialization activities on our own, we may need to obtain additional capital, which may not be available to us on acceptable terms or at all.</w:t>
      </w:r>
    </w:p>
    <w:p>
      <w:pPr>
        <w:spacing w:after="0" w:line="18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supervise and monitor our clinical trials and some aspects of our research and preclinical testing, and if those third parties do not successfully carry out their contractual duties, comply with regulatory requirements, or otherwise perform in a satisfactory manner, we may not be able to obtain regulatory approval or commercialize product candidates, or such approval or commercialization may be delayed, and our business may be substantially harmed.</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rely on medical institutions, universities, clinical investigators, contract laboratories and other third parties, such as CROs, to conduct preclinical studies and future clinical trials for our product candidates. Nevertheless, we will be responsible for ensuring that each of our studies and trials is conducted in accordance with the applicable protocol, legal and regulatory requirements and scientific standards, and our reliance on such third parties will not relieve us of our regulatory responsibilities.</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Although we intend to design the trials for our product candidates either alone or with collaborators, third parties may conduct all of the trials. As a result, many important aspects of our research and development programs, including their conduct and timing, will be outside of our direct control. Our reliance on third parties to conduct future studies and trials will also result in less direct control over the management of data developed through studies and trials than would be the case if we were relying entirely upon our own staff. Communicating with outside parties can also be challenging, potentially leading to mistakes and difficulties in coordinating activities. Outside parties may have staffing difficulties, fail to comply with contractual obligations, experience regulatory compliance issues, undergo changes in priorities, become financially distressed or form relationships with other entities, some of which may be our competitors. We also face the risk of potential unauthorized disclosure or misappropriation of our intellectual property by CROs or other third parties, which may reduce our trade secret protection and allow our potential competitors to access and exploit our proprietary technology. For any violations of laws and regulations during the conduct of our preclinical studies and future clinical trials, we could be subject to warning letters or enforcement action that may include civil penalties up to and including criminal prosecution.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74" w:name="page75"/>
    <w:bookmarkEnd w:id="74"/>
    <w:p>
      <w:pPr>
        <w:spacing w:after="0" w:line="254" w:lineRule="auto"/>
        <w:rPr>
          <w:sz w:val="20"/>
          <w:szCs w:val="20"/>
          <w:color w:val="auto"/>
        </w:rPr>
      </w:pPr>
      <w:r>
        <w:rPr>
          <w:rFonts w:ascii="Times New Roman" w:cs="Times New Roman" w:eastAsia="Times New Roman" w:hAnsi="Times New Roman"/>
          <w:sz w:val="18"/>
          <w:szCs w:val="18"/>
          <w:color w:val="auto"/>
        </w:rPr>
        <w:t>For example, we will remain responsible for ensuring that each of our clinical trials is conducted in accordance with the general investigational plan and protocols for the trial. Moreover, the FDA requires us to comply with regulations, commonly referred to as GCPs for conducting, monitoring, recording and reporting the results of clinical trials to assure that data and reported results are credible and accurate and that the rights, integrity and confidentiality of trial participants are protected. If we, our collaborators, our CROs or other third parties fail to comply with applicable GCPs, the clinical data generated in our clinical trials may be deemed unreliable and FDA or comparable foreign regulatory authorities may require us to perform additional clinical trials before approving our marketing applications. We also are required to register certain ongoing clinical trials and post the results of such completed clinical trials on a government-sponsored database, ClinicalTrials.gov, within certain timeframes. Failure to do so can result in fines, adverse publicity and civil and criminal sanctions.</w:t>
      </w:r>
    </w:p>
    <w:p>
      <w:pPr>
        <w:spacing w:after="0" w:line="192"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If our CROs or other third parties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trials for product candidates may be extended, delayed or terminated, and we or our collaborators may not be able to obtain regulatory approval for, or successfully commercialize, any product candidate that we develop. If we are required to repeat, extend the duration of or increase the size of any trials we conduct, it could significantly delay commercialization and require significantly greater expenditures. As a result of any of these factors, our financial results and the commercial prospects for any product candidate that we or our collaborators may develop would be harmed, our costs could increase and our ability to generate revenues could be delayed.</w:t>
      </w:r>
    </w:p>
    <w:p>
      <w:pPr>
        <w:spacing w:after="0" w:line="185"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supply raw materials or manufacture product supplies that are necessary for the conduct of preclinical studies, clinical trials and manufacturing of our product candidates, and failure by third parties to provide us with sufficient quantities of products, or to do so at acceptable quality levels or prices and on a timely basis, could harm our business.</w:t>
      </w:r>
    </w:p>
    <w:p>
      <w:pPr>
        <w:spacing w:after="0" w:line="17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are dependent on third parties for the supply of various biological materials, such as cells, cytokines and antibodies, and the manufacture of product supplies, such as media, plasmids, mRNA and AAV viral vectors, that are necessary to produce our product candidates. The supply of these materials could be reduced or interrupted at any time. In such case, identifying and engaging an alternative supplier or manufacturer could result in delay, and we may not be able to find other acceptable suppliers or manufacturers on acceptable terms, or at all. Switching suppliers or manufacturers may involve substantial costs and is likely to result in a delay in our desired clinical and commercial timelines. If we change suppliers or manufacturers for commercial production, applicable regulatory agencies may require us to conduct additional studies or trials. If key suppliers or manufacturers are lost, or if the supply of the materials is diminished or discontinued, we or our collaborators may not be able to develop, manufacture and market product candidates in a timely and competitive manner, or at all. If any of our product candidates receives approval, we will likely need to seek alternative sources of supply of raw materials or manufactured product supplies and there can be no assurance that we will be able to establish such relationships to provide such supplies on commercially reasonable terms or at acceptable quality levels, if at all. If we are unable to identify and procure additional sources of supply that fit our required needs, we could face substantial delays or incur additional costs in procuring such materials. In addition, manufactured product supplies are subject to stringent manufacturing processes and rigorous testing. Delays in the completion and validation of facilities and manufacturing processes of these materials could adversely affect the ability to complete studies or trials and commercialize any product candidates that may receive approval. Furthermore, if our suppliers or manufacturers encounter challenges relating to employee turnover, the supply and manufacturing of our materials could be delayed or adversely affected as such parties seek to hire and train new employees. These factors could cause the delay of studies or trials, regulatory submissions, required approvals or commercialization of product candidates that we or our collaborators may develop, cause us to incur higher costs and prevent us from commercializing products successfully. Furthermore, if our suppliers or manufacturers fail to meet contractual requirements, and we are unable to secure one or more replacements capable of production at a substantially equivalent cost, our or our collaborators’ studies or trials may be delayed and we could lose potential revenue.</w:t>
      </w:r>
    </w:p>
    <w:p>
      <w:pPr>
        <w:spacing w:after="0" w:line="18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continue to rely on third parties for at least a portion of the manufacturing process of product candidates, and failure by those parties to adequately perform their obligations could harm our business.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While we use our MCAT facility for certain of our clinical-scale manufacturing and processing needs, we may continue to rely on outside vendors for at least a portion of the manufacturing process of product candidates that we or our collaborators may develop. The facilities used by our contract manufacturers to manufacture product candidates must be approved by the FDA or other foreign regulatory agencies pursuant to inspections that will be conducted after we submit an application to the FDA or other foreign regulatory agencies. To the extent that we or our collaborators engage third parties for manufacturing services, we will not control the manufacturing process of, and will be completely dependent on, our contract manufacturing providers for compliance with cGMP requirements for manufacture of the product candidates. We have not yet caused any product candidates to be manufactured or processed on a commercial scale and may not be able to do so. We will make changes as we work to optimize the manufacturing process, and we cannot be sure that even minor changes in the process will result in products that are safe and effective. If our contract manufacturers cannot successfully manufacture material that conforms to our specifications and the strict regulatory requirements of the FDA or other regulatory authorities, they will not be able to secure and/or maintain regulatory approval for their manufacturing facilities. In addition, we have no control over the ability of our contract manufacturers to maintain adequate quality control, quality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75" w:name="page76"/>
    <w:bookmarkEnd w:id="75"/>
    <w:p>
      <w:pPr>
        <w:ind w:right="60"/>
        <w:spacing w:after="0" w:line="266" w:lineRule="auto"/>
        <w:rPr>
          <w:sz w:val="20"/>
          <w:szCs w:val="20"/>
          <w:color w:val="auto"/>
        </w:rPr>
      </w:pPr>
      <w:r>
        <w:rPr>
          <w:rFonts w:ascii="Times New Roman" w:cs="Times New Roman" w:eastAsia="Times New Roman" w:hAnsi="Times New Roman"/>
          <w:sz w:val="18"/>
          <w:szCs w:val="18"/>
          <w:color w:val="auto"/>
        </w:rPr>
        <w:t>assurance and qualified personnel. If the FDA or a comparable foreign regulatory authority does not approve these facilities for the manufacture of product candidates or if it withdraws any such approval in the future, we may need to find alternative manufacturing facilities, which would significantly impact our ability to develop, obtain regulatory approval for or market any of our or our collaborators’ potential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compete may decline if we do not adequately protect our proprietary rights, and if our proprietary rights do not provide a competitive advantage.</w:t>
      </w:r>
    </w:p>
    <w:p>
      <w:pPr>
        <w:spacing w:after="0" w:line="1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commercial success depends upon obtaining and maintaining proprietary rights to our intellectual property estate, including rights relating to ARCUS and to our product candidates, as well as successfully defending these rights against third-party challenges and successfully enforcing these rights to prevent third-party infringement. We will only be able to protect ARCUS and product candidates from unauthorized use by third parties to the extent that valid and enforceable patents cover them. Our ability to obtain and maintain patent protection for ARCUS and our product candidates is uncertain due to a number of factors, including that:</w:t>
      </w:r>
    </w:p>
    <w:p>
      <w:pPr>
        <w:spacing w:after="0" w:line="210" w:lineRule="exact"/>
        <w:rPr>
          <w:sz w:val="20"/>
          <w:szCs w:val="20"/>
          <w:color w:val="auto"/>
        </w:rPr>
      </w:pPr>
    </w:p>
    <w:p>
      <w:pPr>
        <w:ind w:left="740" w:hanging="368"/>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been the first to invent the technology covered by our pending patent applications or issued patents;</w:t>
      </w:r>
    </w:p>
    <w:p>
      <w:pPr>
        <w:spacing w:after="0" w:line="225" w:lineRule="exact"/>
        <w:rPr>
          <w:rFonts w:ascii="Times New Roman" w:cs="Times New Roman" w:eastAsia="Times New Roman" w:hAnsi="Times New Roman"/>
          <w:sz w:val="18"/>
          <w:szCs w:val="18"/>
          <w:color w:val="auto"/>
        </w:rPr>
      </w:pPr>
    </w:p>
    <w:p>
      <w:pPr>
        <w:ind w:left="740" w:right="700" w:hanging="368"/>
        <w:spacing w:after="0" w:line="282" w:lineRule="auto"/>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the first to file patent applications covering product candidates, including their compositions or methods of use, as patent applications in the United States and most other countries are confidential for a period of time after filing;</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compositions and methods may not be patentable;</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disclosures in patent applications may not be sufficient to meet the statutory requirements for patentability;</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 all of our pending patent applications may not result in issued patents;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identical, similar or alternative technologies, products or compositions or methods of use thereof;</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design around our patent claims to produce competitive technologies or products that fall outside of the scope of our patents;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identify patentable aspects of our research and development output before it is too late to obtain patent protection;</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seek or obtain patent protection in countries that may eventually provide us a significant business opportunity;</w:t>
      </w:r>
    </w:p>
    <w:p>
      <w:pPr>
        <w:spacing w:after="0" w:line="225" w:lineRule="exact"/>
        <w:rPr>
          <w:rFonts w:ascii="Times New Roman" w:cs="Times New Roman" w:eastAsia="Times New Roman" w:hAnsi="Times New Roman"/>
          <w:sz w:val="18"/>
          <w:szCs w:val="18"/>
          <w:color w:val="auto"/>
        </w:rPr>
      </w:pPr>
    </w:p>
    <w:p>
      <w:pPr>
        <w:ind w:left="740" w:right="540" w:hanging="368"/>
        <w:spacing w:after="0" w:line="282" w:lineRule="auto"/>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may not provide a basis for commercially viable products, may not provide any competitive advantages or may be successfully challenged by third parties;</w:t>
      </w:r>
    </w:p>
    <w:p>
      <w:pPr>
        <w:spacing w:after="0" w:line="161" w:lineRule="exact"/>
        <w:rPr>
          <w:rFonts w:ascii="Times New Roman" w:cs="Times New Roman" w:eastAsia="Times New Roman" w:hAnsi="Times New Roman"/>
          <w:sz w:val="18"/>
          <w:szCs w:val="18"/>
          <w:color w:val="auto"/>
        </w:rPr>
      </w:pPr>
    </w:p>
    <w:p>
      <w:pPr>
        <w:ind w:left="740" w:right="1100" w:hanging="368"/>
        <w:spacing w:after="0" w:line="282" w:lineRule="auto"/>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identify prior art or other bases upon which to challenge and ultimately invalidate our patents or otherwise render them unenforceable; and</w:t>
      </w:r>
    </w:p>
    <w:p>
      <w:pPr>
        <w:spacing w:after="0" w:line="161" w:lineRule="exact"/>
        <w:rPr>
          <w:rFonts w:ascii="Times New Roman" w:cs="Times New Roman" w:eastAsia="Times New Roman" w:hAnsi="Times New Roman"/>
          <w:sz w:val="18"/>
          <w:szCs w:val="18"/>
          <w:color w:val="auto"/>
        </w:rPr>
      </w:pPr>
    </w:p>
    <w:p>
      <w:pPr>
        <w:ind w:left="740" w:right="580" w:hanging="368"/>
        <w:spacing w:after="0" w:line="282" w:lineRule="auto"/>
        <w:tabs>
          <w:tab w:leader="none" w:pos="7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growing scientific and patent literature relating to engineered endonucleases, including our own patents and publications, may make it increasingly difficult or impossible to patent new engineered nucleases in the future.</w:t>
      </w:r>
    </w:p>
    <w:p>
      <w:pPr>
        <w:spacing w:after="0" w:line="27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Even if we have or obtain patents covering ARCUS or any product candidates or compositions, we and our collaborators may still be barred from making, using and selling such product candidates or technologies because of the patent rights of others. Others may have filed, and in the future may file, patent applications covering compositions, products or methods that are similar or identical to ours, which could materially affect our ability to successfully develop any product candidates or to successfully commercialize any approved products alone or with collaborators. In addition, because patent applications can take many years to issue, there may be currently pending applications unknown to us that may later result in issued patents that we or our collaborators may infringe. These patent applications may have priority over patent applications filed by us.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licensed patents have been, and may in the future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For example, in 2019, the Patent Trial and Appeal Board (the “PTAB”), of the USPTO initiated two patent interferences involving a family of patents that have been issued to us and a pending patent application filed by a third party. Though the PTAB ultimately found that the third-party patent application did not satisfy written description requirements and rejected the related claims, maintaining the claims in all nine of our patents, any future interference proceedings could result in an adverse outcome, affecting our competitive position, including, without limitation, loss of some or all of our involved patent claims, limiting our ability to stop others from using or commercializing similar or identical</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76" w:name="page77"/>
    <w:bookmarkEnd w:id="76"/>
    <w:p>
      <w:pPr>
        <w:ind w:right="60"/>
        <w:spacing w:after="0" w:line="282" w:lineRule="auto"/>
        <w:rPr>
          <w:sz w:val="20"/>
          <w:szCs w:val="20"/>
          <w:color w:val="auto"/>
        </w:rPr>
      </w:pPr>
      <w:r>
        <w:rPr>
          <w:rFonts w:ascii="Times New Roman" w:cs="Times New Roman" w:eastAsia="Times New Roman" w:hAnsi="Times New Roman"/>
          <w:sz w:val="18"/>
          <w:szCs w:val="18"/>
          <w:color w:val="auto"/>
        </w:rPr>
        <w:t>technology and products, which could harm our business, financial condition and results of operations. Protecting our patent rights in connection with such proceeding may also be expensive and may involve the diversion of significant management time.</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we cannot guarantee that any patents will be issued from any pending or future owned or licensed patent applications. Thus, even if our patent applications issue as patents, they may not issue in a form that will provide us with meaningful protection, prevent competitors from competing with us or otherwise provide us with any competitive advantage. In addition, third parties may be able to develop products that are similar to, or better than, ours in a way that is not covered by the claims of our patents, or may have blocking patents that could prevent us from marketing our products or practicing our own patented technology. Moreover, patents have a limited lifespan. In the United States, the natural expiration of a patent is generally 20 years after it is filed. Various extensions may be available; however the life of a patent, and the protection it affords, is limited. Without patent protection for current or future product candidates, we may be open to competition from generic versions of such potential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those we or our collaborators may develop.</w:t>
      </w:r>
    </w:p>
    <w:p>
      <w:pPr>
        <w:spacing w:after="0" w:line="1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Obtaining and maintaining a patent portfolio entails significant expense, including periodic maintenance fees, renewal fees, annuity fees and various other governmental fees on patents and patent applications. These expenditures can be at numerous stages of prosecuting patent applications and over the lifetime of maintaining and enforcing issued patents. We may or may not choose to pursue or maintain protection for particular intellectual property in our portfolio. If we choose to forgo patent protection or to allow a patent application or patent to lapse purposefully or inadvertently, our competitive position could suffer. There are situations, however, in which failure to make certain payments or noncompliance with certain requirements in the patent process can result in abandonment or lapse of a patent or patent application, resulting in partial or complete loss of patent rights in the relevant jurisdiction. In such an event, our competitors might be able to enter the market, which would have a material adverse effect on our business.</w:t>
      </w:r>
    </w:p>
    <w:p>
      <w:pPr>
        <w:spacing w:after="0" w:line="18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Legal action that may be required to enforce our patent rights can be expensive and may involve the diversion of significant management time. There can be no assurance that we will have sufficient financial or other resources to file and pursue infringement claims, which typically last for years before they are concluded. In addition, these legal actions could be unsuccessful and result in the invalidation of our patents, a finding that they are unenforceable or a requirement that we enter into a licensing agreement with or pay monies to a third party for use of technology covered by our patents. We may or may not choose to pursue litigation or other actions against those that have infringed on our patents, or have used them without authorization, due to the associated expense and time commitment of monitoring these activities. If we fail to successfully protect or enforce our intellectual property rights, our competitive position could suffer, which could harm our results of operations.</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Many biotechnology companies and academic institutions are currently pursuing a variety of different nuclease systems for genome editing technologies using zinc finger nucleases, TALENs, and CRISPR/Cas9 and the use of those nucleases in cancer immunotherapy, gene therapy and genome editing. Although those nucleases are physically and chemically different from our ARCUS nucleases, those companies and institutions may seek patents that broadly cover aspects of cancer immunotherapy, gene therapy and genome editing using nucleases generally. Such patents, if issued, valid and enforceable, could prevent us from marketing our product candidates, if approved, practicing our own patented technology, or might require us to take a license which might not be available on commercially reasonable terms or at all. While we expect that we will continue to be able to patent our ARCUS nucleases for the foreseeable future, as the scientific and patent literature relating to engineered endonucleases increases, including our own patents and publications, it may become more difficult or impossible to patent new engineered endonucleases in the future.</w:t>
      </w:r>
    </w:p>
    <w:p>
      <w:pPr>
        <w:spacing w:after="0" w:line="188" w:lineRule="exact"/>
        <w:rPr>
          <w:sz w:val="20"/>
          <w:szCs w:val="20"/>
          <w:color w:val="auto"/>
        </w:rPr>
      </w:pPr>
    </w:p>
    <w:p>
      <w:pPr>
        <w:ind w:right="8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3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a party to a number of intellectual property license agreements that are important to our business and expect to enter into additional license agreements in the future. Our existing license agreements impose, and we expect that future license agreements will impose, various diligence, milestone payment, royalty and other obligations on us. We may need to outsource and rely on third parties for many aspects of the development, sales and marketing of any products covered under our current and future license agreements. Delay or failure by these third parties could adversely affect the continuation of our license agreements with our licensors. If we fail to comply with any of our obligations under these agreements, or we are subject to a bankruptcy, our licensors may have the right to terminate the license, in which event we would not be able to market any products covered by the license.</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addition, disputes may arise regarding the payment of the royalties due to licensors in connection with our exploitation of the rights we license from them. Licensors may contest the basis of royalties we retained and claim that we are obligated to make payments under a broader basis. In addition to the costs of any litigation we may face as a result, any legal action against us could increase our payment obligations under the respective agreement and require us to pay interest and potentially damages to such licensors.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77" w:name="page78"/>
    <w:bookmarkEnd w:id="77"/>
    <w:p>
      <w:pPr>
        <w:ind w:right="40"/>
        <w:spacing w:after="0" w:line="255" w:lineRule="auto"/>
        <w:rPr>
          <w:sz w:val="20"/>
          <w:szCs w:val="20"/>
          <w:color w:val="auto"/>
        </w:rPr>
      </w:pPr>
      <w:r>
        <w:rPr>
          <w:rFonts w:ascii="Times New Roman" w:cs="Times New Roman" w:eastAsia="Times New Roman" w:hAnsi="Times New Roman"/>
          <w:sz w:val="18"/>
          <w:szCs w:val="18"/>
          <w:color w:val="auto"/>
        </w:rPr>
        <w:t>In some cases, patent prosecution of our licensed technology is controlled solely by the licensor. If such licensor fails to obtain and maintain patent or other protection for the proprietary intellectual property we license from such licensor, we could lose our rights to such intellectual property or the exclusivity of such rights, and our competitors could market competing products using such intellectual property. In that event, we may be required to expend significant time and resources to develop or license replacement technology. If we are unable to do so, we or our collaborators may be unable to develop or commercialize the affected product candidates, which could harm our business significantly. In other cases, we control the prosecution of patents resulting from licensed technology. In the event we breach any of our obligations related to such prosecution, we may incur significant liability to our licensing partners.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example, our license agreement with Duke, which we refer to as the Duke License, imposes various payment, royalty and other obligations on us in order to maintain the license. If we fail to make royalty payments or milestone payments required under the Duke License, Duke may terminate the agreement. If we or our affiliates obtain a license from a third party to practice the Duke technology, we must use commercially reasonable efforts to secure a covenant not to sue Duke, or any of its faculty, students, employees or agents, for any research and development efforts conducted at Duke that resulted in the creation of any of its inventions or intellectual property rights arising therefrom. Additionally, because development of the Duke technology was funded in part by the U.S. government, it is subject to certain government rights and obligations, including the requirement that any products sold in the United States based upon such technology be substantially manufactured in the United States.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our cross-license agreement with Cellectis, or the Cellectis License, imposes various obligations on us in order to maintain the license. In particular, if we participate in or provide assistance to a third party challenging the validity, enforceability and/or patentability of any claim of any patent licensed to us by Cellectis under this agreement, Cellectis may terminate the agreement. The Cellectis License does not provide exclusive rights to use the licensed intellectual property and technology or rights in all relevant fields in which we may wish to develop or commercialize our technology and products in the future. As a result, we are not able to prevent competitors from developing and commercializing competitive products and technology that may use this technology. Additionally, we do not have the right to control the preparation, filing, prosecution, maintenance, enforcement and defense of patents and patent applications covering the technology that we license from Cellectis. Therefore, we cannot be certain that these patents and patent applications will be prepared, filed, prosecuted, maintained and defended in a manner consistent with the best interests of our business. If Cellectis or other licensors fail to prosecute, maintain, enforce and defend the patents subject to such licenses, or lose rights to those patents or patent applications, the rights we have licensed may be reduced or eliminated, and our right to develop and commercialize any of our products that are the subject of such licensed rights could be adversely affected.</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we fail to comply with our obligations under the Duke License or the Cellectis License, or arrangements with any other licensors, our counterparties may have the right to terminate these agreements, in which event we might not be able to develop, manufacture or market any product candidate that is covered by these agreements, which could materially adversely affect the value of any such product candidate.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license agreement, including:</w:t>
      </w:r>
    </w:p>
    <w:p>
      <w:pPr>
        <w:spacing w:after="0" w:line="117" w:lineRule="exact"/>
        <w:rPr>
          <w:sz w:val="20"/>
          <w:szCs w:val="20"/>
          <w:color w:val="auto"/>
        </w:rPr>
      </w:pPr>
    </w:p>
    <w:p>
      <w:pPr>
        <w:ind w:left="740" w:hanging="368"/>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royalties, milestones or other payments due to our licensors;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license agreement;</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22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225" w:lineRule="exact"/>
        <w:rPr>
          <w:rFonts w:ascii="Times New Roman" w:cs="Times New Roman" w:eastAsia="Times New Roman" w:hAnsi="Times New Roman"/>
          <w:sz w:val="18"/>
          <w:szCs w:val="18"/>
          <w:color w:val="auto"/>
        </w:rPr>
      </w:pPr>
    </w:p>
    <w:p>
      <w:pPr>
        <w:ind w:left="740" w:right="580" w:hanging="368"/>
        <w:spacing w:after="0" w:line="282" w:lineRule="auto"/>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collaborators; and</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33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Such disputes may be costly to resolve and may divert management’s attention away from day-to-day activities. If disputes over intellectual property that we have licensed from third parties prevent or impair our ability to maintain our licensing arrangements on acceptable terms, we or our collaborators may be unable to successfully develop and commercialize the affected product candidates.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78" w:name="page79"/>
    <w:bookmarkEnd w:id="78"/>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in-licensed intellectual property has been discovered through government funded research and thus may be subject to federal regulations such as “march-in” rights, certain reporting requirements and a preference for U.S.-based companies, and compliance with such regulations may limit our exclusive rights and our ability to contract with foreign manufacturers.</w:t>
      </w:r>
    </w:p>
    <w:p>
      <w:pPr>
        <w:spacing w:after="0" w:line="1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Certain intellectual property rights that have been in-licensed pursuant to the Duke License have been generated through the use of U.S. government funding and are therefore subject to certain federal regulations. As a result, the U.S. government may have certain rights to intellectual property embodied in our current or future product candidates pursuant to the Bayh-Dole Act of 1980, or the Patent and Trademark Law Amendment. These U.S. government rights include a non-exclusive, non-transferable, irrevocable worldwide license to use inventions for any governmental purpose. In addition, the U.S. government has the right, under certain limited circumstances, to require the licensor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The U.S. government also has the right to take title to these inventions if the licensor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and the Duke License requires that we comply with this requirement.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the products substantially in the United States or that under the circumstances domestic manufacture is not commercially feasible. This preference for U.S. industry may limit our ability to contract with foreign product manufacturers for products covered by such intellectual property. To the extent any of our owned or licensed future intellectual property is also generated through the use of U.S. government funding, the provisions of the Bayh-Dole Act may similarly apply.</w:t>
      </w:r>
    </w:p>
    <w:p>
      <w:pPr>
        <w:spacing w:after="0" w:line="189"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in the United States under the Hatch-Waxman Act and in foreign countries under similar legislation with respect to our product candidates, thereby potentially extending the term of marketing exclusivity for such product candidates, our business may be harmed.</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United States, a patent that covers an FDA-approved drug or biologic may be eligible for a term extension designed to restore the period of the patent term that is lost during the premarket regulatory review process conducted by the FDA. Depending upon the timing, duration and conditions of FDA marketing approval of our product candidates, one or more of our U.S. patents may be eligible for limited patent term extension under the Drug Price Competition and Patent Term Restoration Act of 1984, or the Hatch-Waxman Act, which permits a patent term extension of up to five years for a patent covering an approved product as compensation for effective patent term lost during product development and the FDA regulatory review process. In the EU, our product candidates may be eligible for term extensions based on similar legislation. In either jurisdiction, however, we may not receive an extension if we fail to apply within applicable deadlines, fail to apply prior to expiration of relevant patents or otherwise fail to satisfy applicable requirements. Even if we are granted such extension, the duration of such extension may be less than our request. If we are unable to obtain a patent term extension, or if the term of any such extension is less than our request, the period during which we can enforce our patent rights for that product will be in effect shortened and our competitors may obtain approval to market competing products sooner. The resulting reduction of years of revenue from applicable products could be substantial.</w:t>
      </w:r>
    </w:p>
    <w:p>
      <w:pPr>
        <w:spacing w:after="0" w:line="18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Patents and patent applications involve highly complex legal and factual questions, which, if determined adversely to us, could negatively impact our patent position.</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patent positions of biopharmaceutical and biotechnology companies and other actors in our fields of business can be highly uncertain and typically involve complex scientific, legal and factual analyses. In particular, the interpretation and breadth of claims allowed in some patents covering biopharmaceutical compositions may be uncertain and difficult to determine, and are often affected materially by the facts and circumstances that pertain to the patented compositions and the related patent claims. The standards of the USPTO and its foreign counterparts are sometimes uncertain and could change in the future. Consequently, the issuance and scope of patents cannot be predicted with certainty. Patents, if issued, may be challenged, invalidated or circumvented. U.S. patents and patent applications may also be subject to interference or derivation proceedings, and U.S. patents may be subject to reexamination proceedings, post-grant review and/or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 the USPTO. International patents may also be subject to opposition or comparable proceedings in the corresponding international patent office, which could result in either loss of the patent or denial of the patent application or loss or reduction in the scope of one or more of the claims of the patent or patent application. In addition, such interference, derivation,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opposition proceedings may be costly. Accordingly, rights under any issued patents may not provide us with sufficient protection against competitive products or processes.</w:t>
      </w:r>
    </w:p>
    <w:p>
      <w:pPr>
        <w:spacing w:after="0" w:line="19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Furthermore, even if not challenged, our patents and patent applications may not adequately protect our technology and any product candidates or products that we develop alone or with collaborators or prevent others from designing their products to avoid being covered by our claims. If the breadth or strength of protection provided by the patent applications we hold with respect to product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79" w:name="page80"/>
    <w:bookmarkEnd w:id="79"/>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candidates or potential products is threatened, it could dissuade companies from collaborating with us to develop, and could threaten our or their ability to successfully commercialize, such product candidates. Furthermore, for U.S. applications in which any claim is entitled to a priority date before March 16, 2013, an interference proceeding can be provoked by a third party or instituted by the USPTO in order to determine who was the first to invent any of the subject matter covered by such patent claims.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changes in, or different interpretations of, patent laws in the United States and other countries may permit others to use our discoveries or to develop and commercialize our technology and product candidates or products without providing any compensation to us, or may limit the scope of patent protection that we are able to obtain. The laws of some countries do not protect intellectual property rights to the same extent as U.S. laws, and those countries may lack adequate rules and procedures for defending our intellectual property rights.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the patent applications we hold or have in-licensed with respect to our current and future research and development programs and product candidates fail to issue, if their validity, breadth or strength of protection is threatened, or if they fail to provide meaningful exclusivity for our technology or any products and product candidates that we or our collaborators may develop, it could dissuade companies from collaborating with us to develop product candidates, encourage competitors to develop competing products or technologies and threaten our or our collaborators’ ability to commercialize future product candidates. Any such outcome could have a material adverse effect on our business.</w:t>
      </w:r>
    </w:p>
    <w:p>
      <w:pPr>
        <w:spacing w:after="0" w:line="17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claims against us alleging infringement of their patents and proprietary rights, or we may need to become involved in lawsuits to defend or enforce our patents, either of which could result in substantial costs or loss of productivity, delay or prevent the development and commercialization of product candidates, prohibit our use of proprietary technology or sale of potential products or put our patents and other proprietary rights at risk.</w:t>
      </w:r>
    </w:p>
    <w:p>
      <w:pPr>
        <w:spacing w:after="0" w:line="18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commercial success depends in part upon our ability to develop, manufacture, market and sell product candidates without alleged or actual infringement, misappropriation or other violation of the patents and proprietary rights of third parties. Litigation relating to infringement or misappropriation of patent and other intellectual property rights in the pharmaceutical and biotechnology industries is common, including patent infringement lawsuits, interferences, oppositions and reexamination proceedings before the USPTO and corresponding international patent offices. The various markets in which we plan to operate are subject to frequent and extensive litigation regarding patents and other intellectual property rights. In addition, many companies in intellectual property-dependent industries, including the biotechnology and pharmaceutical industries, have employed intellectual property litigation as a means to gain an advantage over their competitors. Numerous United States, EU and other internationally issued patents and pending patent applications, which are owned by third parties, exist in the fields in which we and our collaborators are developing product candidates, and as the biotechnology and pharmaceutical industries expand and more patents are issued, the risk increases that our product candidates may be subject to claims of infringement of the intellectual property rights of third parties. For example, we are aware of certain patents held by third parties relating to the modification of T cells, including the production of CAR T cells. Although conducting clinical trials and other development activities with respect to our CAR T product candidates is not considered an act of infringement in the United States, if and when any of our CAR T product candidates may be approved by the FDA, those third parties may seek to enforce their patents by filing a patent infringement lawsuit against us. As a result of any patent infringement claims, or in order to avoid any potential infringement claims, we may choose to seek, or be required to seek, a license from the third party, which may require payment of substantial royalties or fees, or require us to grant a cross-license under our intellectual property rights, similar to the cross license we granted Cellectis as part of our patent litigation settlement. These licenses may not be available on reasonable terms or at all. Even if a license can be obtained on reasonable terms, the rights may be nonexclusive, which would give our competitors access to the same intellectual property rights. If we are unable to enter into a license on acceptable terms, we or our collaborators could be prevented from commercializing one or more product candidates, or forced to modify such product candidates, or to cease some aspect of our business operations, which could harm our business significantly. We or our collaborators might also be forced to redesign or modify our technology or product candidates so that we no longer infringe the third-party intellectual property rights, which may result in significant cost or delay to us, or which redesign or modification could be impossible or technically infeasible. Even if we were ultimately to prevail, any of these events could require us to divert substantial financial and management resources that we would otherwise be able to devote to our business.</w:t>
      </w:r>
    </w:p>
    <w:p>
      <w:pPr>
        <w:spacing w:after="0" w:line="20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Further, if a patent infringement suit is brought against us, our collaborators or our third-party service providers, our development, manufacturing or sales activities relating to the product or product candidate that is the subject of the suit may be delayed or terminated. In addition, defending such claims has in the past and may in the future cause us to incur substantial expenses and, if successful, could cause us to pay substantial damages if we are found to be infringing a third party’s patent rights. These damages potentially include increased damages and attorneys’ fees if we are found to have infringed such rights willfully.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In addition, if the breadth or strength of protection provided by the patents and patent applications we own or in-license is threatened, it could dissuade companies from collaborating with us to license, develop or commercialize current or future product candidates.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80" w:name="page81"/>
    <w:bookmarkEnd w:id="80"/>
    <w:p>
      <w:pPr>
        <w:ind w:right="200"/>
        <w:spacing w:after="0" w:line="254" w:lineRule="auto"/>
        <w:rPr>
          <w:sz w:val="20"/>
          <w:szCs w:val="20"/>
          <w:color w:val="auto"/>
        </w:rPr>
      </w:pPr>
      <w:r>
        <w:rPr>
          <w:rFonts w:ascii="Times New Roman" w:cs="Times New Roman" w:eastAsia="Times New Roman" w:hAnsi="Times New Roman"/>
          <w:sz w:val="18"/>
          <w:szCs w:val="18"/>
          <w:color w:val="auto"/>
        </w:rPr>
        <w:t>We have been and may in the future be subject to third-party claims and similar adversarial proceedings or litigation in other jurisdictions regarding our infringement of the patent rights of third parties. Even if such claims are without merit, a court of competent jurisdiction could hold that these third-party patents are valid, enforceable and infringed, and the holders of any such patents may be able to block or our collaborators’ ability to further develop or commercialize the applicable product candidate unless we obtain a license under the applicable patents, or until such patents expire or are finally determined to be invalid or unenforceable. Similarly, if any third-party patents were held by a court of competent jurisdiction to cover aspects of our technologies, compositions, formulations, or methods of treatment, prevention or use, the holders of any such patents may be able to prohibit our use of those technologies, compositions, formulations, methods of treatment, prevention or use or other technologies, effectively blocking our or our collaborators’ ability to develop and commercialize the applicable product candidate until such patent expires or is finally determined to be invalid or unenforceable or unless we or our collaborators obtain a license.</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intellectual property litigation more effectively than we can because they have substantially greater resources. In addition, intellectual property litigation, regardless of its outcome, may cause negative publicity, adversely impact prospective customers, cause product shipment delays or prohibit us from manufacturing, marketing or otherwise commercializing our products, services and technology. Any uncertainties resulting from the initiation and continuation of any litigation could have a material adverse effect on our ability to raise additional funds or otherwise have a material adverse effect on our business, results of operation, financial condition or cash flows.</w:t>
      </w:r>
    </w:p>
    <w:p>
      <w:pPr>
        <w:spacing w:after="0" w:line="18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If we or one of our licensors were to initiate legal proceedings against a third party to enforce a patent covering our technology or a product candidate, the defendant could counterclaim that our patent is invalid or unenforceable. In patent litigation in the United States and Europe, defendant counterclaims alleging invalidity or unenforceability are common. Grounds for a validity challenge could be an alleged failure to meet any of several statutory requirements, for example, lack of novelty, obviousness or non-enablement. Third parties might allege unenforceability of our patents because during prosecution of the patent an individual connected with such prosecution withheld relevant information, or made a misleading statement.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but that an adverse third party may identify and submit in support of such assertions of invalidity. If a defendant were to prevail on a legal assertion of invalidity or unenforceability, we would lose at least part, and perhaps all, of the patent protection on our technology or product candidates. Our patents and other intellectual property rights also will not protect our technology if competitors design around our protected technology without infringing our patents or other intellectual property rights. Even if resolved in our favor, litigation or other legal proceedings relating to intellectual property claims may cause us to incur significant expenses and could distract our technical and management personnel from their normal responsibilities. 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and if securities analysts or investors view these announcements in a negative light, the price of our common stock could be adversely affected. Such litigation or proceedings could substantially increase our operating losses and reduce our resources available for development activities. We may not have sufficient financial or other resources to adequately conduct such litigation or proceedings.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in patent law could have a negative impact on our business.</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From time to time, the Supreme Court, other federal courts, the United States Congress, or Congress, the USPTO and similar international authorities may change the standards of patentability, and any such changes could have a negative impact on our business. For example, the America Invents Act (the “AIA”), which was passed in September 2011, resulted in significant changes to the U.S. patent system. An important change introduced by the AIA is that, as of March 16, 2013, the United States transitioned from a “first-to-invent” to a “first-to-file” system for deciding which party should be granted a patent when two or more patent applications are filed by different parties claiming the same invention. Under a “first-to-file” system, assuming the other requirements for patentability are met, the first inventor to file a patent application generally will be entitled to a patent on the invention regardless of whether another inventor had made the invention earlier. A third party that files a patent application in the USPTO after that date but before us could therefore be awarded a patent covering an invention of ours even if we made the invention before it was made by the third party. Circumstances could prevent us from promptly filing patent applications on our inventions.</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AIA limited where a patentee may file a patent infringement suit and provided opportunities for third parties to challenge any issued patent in the USPTO. Those provisions apply to all of our U.S. patents, regardless of when issued.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These provisions could increase the uncertainties and costs surrounding the prosecution of our or our licensors’ patent applications and the enforcement or defense of our or our licensors’ issued patents.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81" w:name="page82"/>
    <w:bookmarkEnd w:id="81"/>
    <w:p>
      <w:pPr>
        <w:ind w:right="60"/>
        <w:spacing w:after="0" w:line="254" w:lineRule="auto"/>
        <w:rPr>
          <w:sz w:val="20"/>
          <w:szCs w:val="20"/>
          <w:color w:val="auto"/>
        </w:rPr>
      </w:pPr>
      <w:r>
        <w:rPr>
          <w:rFonts w:ascii="Times New Roman" w:cs="Times New Roman" w:eastAsia="Times New Roman" w:hAnsi="Times New Roman"/>
          <w:sz w:val="18"/>
          <w:szCs w:val="18"/>
          <w:color w:val="auto"/>
        </w:rPr>
        <w:t>Additionally, the Supreme Court has ruled on several patent cases in recent years either narrowing the scope of patent protection available in certain circumstances or weakening the rights of patent owners in certain situations, and there are other open questions under patent law that courts have yet to decisively address. In addition to increasing uncertainty with regard to our ability to obtain patents in the future, this combination of events has created uncertainty with respect to the value of our patents and patent applications. Depending on decisions by Congress, the federal courts and the USPTO, the laws and regulations governing patents could change in unpredictable ways and could weaken our ability to obtain new patents or to enforce our existing patents and patents that we might obtain in the future. In addition, the European patent system is relatively stringent in the type of amendments that are allowed during prosecution, but the complexity and uncertainty of European patent laws has also increased in recent years. Complying with these laws and regulations could limit our ability to obtain new patents in the future that may be important for our business.</w:t>
      </w:r>
    </w:p>
    <w:p>
      <w:pPr>
        <w:spacing w:after="0" w:line="18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unable to protect the confidentiality of our trade secrets and enforce our intellectual property assignment agreements, our business and competitive position would be harmed.</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because we operate in the highly technical field of development of product candidates and products using genome editing, we rely significantly on trade secret protection in order to protect our proprietary technology and processes. Trade secrets are difficult to protect. Our policy is to enter into confidentiality and intellectual property assignment agreements with our employees, consultants, outside scientific collaborators, sponsored researchers and other advisors. These agreements generally require that the other party keep confidential and not disclose to third parties all confidential information developed by the party or made known to the party by us during the course of the party’s relationship with us. These agreements also generally provide that inventions conceived by the party in the course of rendering services to us will be our exclusive property. However, we may be unsuccessful in executing such an agreement with each party who in fact conceives or develops intellectual property that we regard as our own. Our assignment agreements may not be self-executing or may be breached, and we may be forced to bring claims against third parties, or defend claims they may bring against us, to determine the ownership of what we regard as our intellectual property. In addition, these agreements may be held unenforceable and may not effectively assign intellectual property rights to us. If our trade secrets and other unpatented or unregistered proprietary information are disclosed, we are likely to lose such trade secret protection.</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1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addition, agreements with third parties typically restrict the ability of such third parties to publish data potentially relating to our trade secrets. Our academic collaborators typically have rights to publish data, provided that we are notified in advance and may delay publication for a specified period of time in order to secure our intellectual property rights arising from the arrangement. In other cases, publication rights are controlled exclusively by us, although in some cases we may share these rights with other parties. We also conduct joint research and product development activities that may require us to share trade secrets under the terms of our research and development collaborations or similar agreements. In addition to contractual measures, we try to protect the confidential nature of our proprietary information using physical and technological security measures. Such measures may not provide adequate protection for our proprietary information. For example, our security measures may not prevent an employee or consultant with authorized access from misappropriating our trade secrets and providing them to a competitor, and the recourse we have available against such misconduct may not provide an adequate remedy to protect our interests fully. Enforcing a claim that a party illegally disclosed or misappropriated a trade secret can be difficult, expensive and time consuming, and the outcome is unpredictable. In addition, courts outside the United States may be less willing to protect trade secrets. Furthermore, our proprietary information may be independently developed by others in a manner that could prevent legal recourse by us. Competitors could purchase any products we may develop and commercialize and attempt to reverse engineer and replicate some or all of the competitive advantages we derive from our development efforts, willfully infringe our intellectual property rights or design around our protected technology. In addition, our key employees, consultants, suppliers or other individuals with access to our proprietary technology and know-how may incorporate that technology and know-how into projects and inventions developed independently or with third parties. As a result, disputes may arise regarding the ownership of the proprietary rights to such technology or know-how, and any such dispute may not be resolved in our favor. If any of our confidential or proprietary information, including our trade secrets, were to be disclosed or misappropriated, or if any such information was independently developed by a competitor, our competitive position could be harmed and such disclosure or misappropriation could have a material adverse effect on our business.</w:t>
      </w:r>
    </w:p>
    <w:p>
      <w:pPr>
        <w:spacing w:after="0" w:line="1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5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those in the United States, assuming that rights are obtained in the United States. In-licensing patents covering product candidates in all countries throughout the world may similarly be prohibitively expensive, if such opportunities are available at all. In addition, the laws of some foreign countries do not protect intellectual property rights to the same extent as federal and state laws in the United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82" w:name="page83"/>
    <w:bookmarkEnd w:id="82"/>
    <w:p>
      <w:pPr>
        <w:ind w:right="20"/>
        <w:spacing w:after="0" w:line="282" w:lineRule="auto"/>
        <w:rPr>
          <w:sz w:val="20"/>
          <w:szCs w:val="20"/>
          <w:color w:val="auto"/>
        </w:rPr>
      </w:pPr>
      <w:r>
        <w:rPr>
          <w:rFonts w:ascii="Times New Roman" w:cs="Times New Roman" w:eastAsia="Times New Roman" w:hAnsi="Times New Roman"/>
          <w:sz w:val="18"/>
          <w:szCs w:val="18"/>
          <w:color w:val="auto"/>
        </w:rPr>
        <w:t>States. Consequently, we may not be able to prevent third parties from practicing our inventions in all countries outside the United States, or from selling or importing products made using our inventions in and into the United States or other jurisdictions.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generally apply for patents in those countries where we intend to make, have made, use, offer for sale or sell products and where we assess the risk of infringement to justify the cost of seeking patent protection. However, we do not seek protection in all countries where we sell products and we may not accurately predict all the countries where patent protection would ultimately be desirable. If we fail to timely file a patent application in any such country or major market, we may be precluded from doing so at a later date. Competitors may use our technologies in jurisdictions where we do not pursue and obtain patent protection to develop their own products and may export otherwise infringing products to territories where we have patent protection, but where our ability to enforce our patent rights is not as strong as in the United States. These products may compete with any products that we or our collaborators may develop, and our patents or other intellectual property rights may not be effective or sufficient to prevent such competition.</w:t>
      </w:r>
    </w:p>
    <w:p>
      <w:pPr>
        <w:spacing w:after="0" w:line="18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laws of some other countries do not protect intellectual property rights to the same extent as the laws of the United States. For example, European patent law restricts the patentability of methods of treatment of the human body more than U.S. law does.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or biotechnologies. As a result, many companies have encountered significant difficulties in protecting and defending intellectual property rights in certain jurisdictions outside the United States. Such issues may make it difficult for us to stop the infringement of our patents, if obtained, or the misappropriation of our other intellectual property rights. For example, many other countries, including countries in the EU,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In those countries, we and our licensors may have limited remedies if patents are infringed or if we or our licensors are compelled to grant a license to a third party, which could materially diminish the value of those patents and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197"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Furthermore, proceedings to enforce our patent rights in foreign jurisdictions could result in substantial costs and divert our efforts and attention from other aspects of our business, subject our patents to the risk of being invalidated or interpreted narrowly, subject our patent applications to the risk of not issuing or provoke third parties to assert claims against us. We may not prevail in any lawsuits that we initiate, and the damages or other remedies awarded to us, if any, may not be commercially meaningful, while the damages and other remedies we may be ordered to pay such third parties may be significant.</w:t>
      </w:r>
    </w:p>
    <w:p>
      <w:pPr>
        <w:spacing w:after="0" w:line="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Accordingly, our efforts to enforce our intellectual property rights around the world may be inadequate to obtain a significant commercial advantage from the intellectual property that we develop or license.</w:t>
      </w:r>
    </w:p>
    <w:p>
      <w:pPr>
        <w:spacing w:after="0" w:line="17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15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We have rights, through licenses from third parties and under patents that we own, to the intellectual property to develop the product candidates we are currently developing alone or with collaborators. Because our programs may involve additional product candidates that may require the use of proprietary rights held by third parties, the growth of our business may depend in part on our ability to acquire, in-license or use these proprietary rights. In addition, product candidates may require specific formulations to work effectively and efficiently, and these rights may be held by others. We may be unable to acquire or in-license any compositions, methods of use, processes or other third-party intellectual property rights from third parties that we identify. The licensing and acquisition of third-party intellectual property rights is a competitive area, and a number of more established companies, or companies that have greater resources than we do, may also be pursuing strategies to license or acquire third-party intellectual property rights that we may consider necessary or attractive to develop or commercialize product candidates. These established companies may have a competitive advantage over us due to their size and greater cash resources and clinical development and commercialization capabilities. We may not be able to successfully complete such negotiations and ultimately acquire the rights to the intellectual property surrounding product candidates that we may seek to acquire.</w:t>
      </w:r>
    </w:p>
    <w:p>
      <w:pPr>
        <w:spacing w:after="0" w:line="1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example, we sometimes collaborate with academic institutions to accelerate our preclinical research or development under written agreements with these institutions. Typically, these institutions provide us with an option to negotiate a license to any of the institution’s rights in technology resulting from the strategic alliance. Regardless of such right of first negotiation, we may be unable to negotiate a license within the specified time frame or under terms that are acceptable to us, and the institution may license such intellectual property rights to third parties, potentially blocking our ability to pursue our development and commercialization plans.</w:t>
      </w:r>
    </w:p>
    <w:p>
      <w:pPr>
        <w:spacing w:after="0" w:line="18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addition, companies that perceive us to be a competitor may be unwilling to assign or license to us intellectual property rights that we require in order to successfully develop and commercialize potential products. We also may be unable to obtain such a license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83" w:name="page84"/>
    <w:bookmarkEnd w:id="83"/>
    <w:p>
      <w:pPr>
        <w:ind w:right="380"/>
        <w:spacing w:after="0" w:line="282" w:lineRule="auto"/>
        <w:rPr>
          <w:sz w:val="20"/>
          <w:szCs w:val="20"/>
          <w:color w:val="auto"/>
        </w:rPr>
      </w:pPr>
      <w:r>
        <w:rPr>
          <w:rFonts w:ascii="Times New Roman" w:cs="Times New Roman" w:eastAsia="Times New Roman" w:hAnsi="Times New Roman"/>
          <w:sz w:val="18"/>
          <w:szCs w:val="18"/>
          <w:color w:val="auto"/>
        </w:rPr>
        <w:t>assignment on terms that would allow us to make an appropriate return on our investment. In either event, our business and prospects for growth could suffer.</w:t>
      </w:r>
    </w:p>
    <w:p>
      <w:pPr>
        <w:spacing w:after="0" w:line="1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If our trademarks and trade names are not adequately protected, then we may not be able to build name recognition in our markets of interest and our business may be adversely affected. We may not be able to protect our rights to our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and other intellectual property may be ineffective and could result in substantial costs and diversion of resources and could adversely impact our financial condition or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Owning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to us as a clinical-stage biopharmaceutical company, as our stock price can significantly fluctuate as a result of public announcements regarding the progress of our development efforts for our discovery platform and our product candidates. If we face such litigation, it could result in substantial costs and a diversion of management’s attention and resources, which could harm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do not intend to pay any dividends to holders of our common stock for the foreseeable future. We currently intend to invest our future earnings, if any, to fund our growth. In addition, pursuant to the terms of our Revolving Line we are prohibited from paying cash dividends without the prior written consent of PWB and future debt instruments may materially restrict our ability to pay dividends on our common stock. Therefore, you are not likely to receive any dividends on your common stock for the foreseeable future, and the success of an investment in our common stock will depend upon any future appreciation in its value. Consequently, you may need to sell all or part of your common stock after price appreciation, which may never occur, as the only way to realize any future gains on your investment.</w:t>
      </w:r>
    </w:p>
    <w:p>
      <w:pPr>
        <w:spacing w:after="0" w:line="18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amended and restated certificate of incorporation and restated bylaws or Delaware law might discourage, delay or prevent a change in control of our company or changes in our management and therefore depress the trading price of our common stock.</w:t>
      </w:r>
    </w:p>
    <w:p>
      <w:pPr>
        <w:spacing w:after="0" w:line="15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restated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79" w:lineRule="exact"/>
        <w:rPr>
          <w:sz w:val="20"/>
          <w:szCs w:val="20"/>
          <w:color w:val="auto"/>
        </w:rPr>
      </w:pPr>
    </w:p>
    <w:p>
      <w:pPr>
        <w:ind w:left="740" w:right="560" w:hanging="368"/>
        <w:spacing w:after="0" w:line="282" w:lineRule="auto"/>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25" w:lineRule="exact"/>
        <w:rPr>
          <w:rFonts w:ascii="Times New Roman" w:cs="Times New Roman" w:eastAsia="Times New Roman" w:hAnsi="Times New Roman"/>
          <w:sz w:val="18"/>
          <w:szCs w:val="18"/>
          <w:color w:val="auto"/>
        </w:rPr>
      </w:pPr>
    </w:p>
    <w:p>
      <w:pPr>
        <w:ind w:left="740" w:right="800" w:hanging="368"/>
        <w:spacing w:after="0" w:line="282" w:lineRule="auto"/>
        <w:tabs>
          <w:tab w:leader="none" w:pos="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161" w:lineRule="exact"/>
        <w:rPr>
          <w:rFonts w:ascii="Times New Roman" w:cs="Times New Roman" w:eastAsia="Times New Roman" w:hAnsi="Times New Roman"/>
          <w:sz w:val="18"/>
          <w:szCs w:val="18"/>
          <w:color w:val="auto"/>
        </w:rPr>
      </w:pPr>
    </w:p>
    <w:p>
      <w:pPr>
        <w:ind w:left="740" w:right="300" w:hanging="368"/>
        <w:spacing w:after="0" w:line="312" w:lineRule="auto"/>
        <w:tabs>
          <w:tab w:leader="none" w:pos="7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84" w:name="page85"/>
    <w:bookmarkEnd w:id="84"/>
    <w:p>
      <w:pPr>
        <w:ind w:left="740" w:hanging="368"/>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bylaws without obtaining stockholder approval;</w:t>
      </w:r>
    </w:p>
    <w:p>
      <w:pPr>
        <w:spacing w:after="0" w:line="225" w:lineRule="exact"/>
        <w:rPr>
          <w:rFonts w:ascii="Times New Roman" w:cs="Times New Roman" w:eastAsia="Times New Roman" w:hAnsi="Times New Roman"/>
          <w:sz w:val="18"/>
          <w:szCs w:val="18"/>
          <w:color w:val="auto"/>
        </w:rPr>
      </w:pPr>
    </w:p>
    <w:p>
      <w:pPr>
        <w:ind w:left="740" w:right="260" w:hanging="368"/>
        <w:spacing w:after="0" w:line="282" w:lineRule="auto"/>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the holders of at least two-thirds of the shares entitled to vote at an election of directors to adopt, amend or repeal our bylaws or repeal the provisions of our amended and restated certificate of incorporation regarding the election and removal of directors;</w:t>
      </w:r>
    </w:p>
    <w:p>
      <w:pPr>
        <w:spacing w:after="0" w:line="161" w:lineRule="exact"/>
        <w:rPr>
          <w:rFonts w:ascii="Times New Roman" w:cs="Times New Roman" w:eastAsia="Times New Roman" w:hAnsi="Times New Roman"/>
          <w:sz w:val="18"/>
          <w:szCs w:val="18"/>
          <w:color w:val="auto"/>
        </w:rPr>
      </w:pPr>
    </w:p>
    <w:p>
      <w:pPr>
        <w:ind w:left="740" w:right="620" w:hanging="368"/>
        <w:spacing w:after="0" w:line="282" w:lineRule="auto"/>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61" w:lineRule="exact"/>
        <w:rPr>
          <w:rFonts w:ascii="Times New Roman" w:cs="Times New Roman" w:eastAsia="Times New Roman" w:hAnsi="Times New Roman"/>
          <w:sz w:val="18"/>
          <w:szCs w:val="18"/>
          <w:color w:val="auto"/>
        </w:rPr>
      </w:pPr>
    </w:p>
    <w:p>
      <w:pPr>
        <w:ind w:left="740" w:right="200" w:hanging="368"/>
        <w:spacing w:after="0" w:line="266" w:lineRule="auto"/>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chairman of the board of directors, our chief executive officer (or our president, in the absence of a chief executive officer) or a majority of our board of directors, which may delay the ability of our stockholders to force consideration of a proposal or to take action, including the removal of directors; and</w:t>
      </w:r>
    </w:p>
    <w:p>
      <w:pPr>
        <w:spacing w:after="0" w:line="175" w:lineRule="exact"/>
        <w:rPr>
          <w:rFonts w:ascii="Times New Roman" w:cs="Times New Roman" w:eastAsia="Times New Roman" w:hAnsi="Times New Roman"/>
          <w:sz w:val="18"/>
          <w:szCs w:val="18"/>
          <w:color w:val="auto"/>
        </w:rPr>
      </w:pPr>
    </w:p>
    <w:p>
      <w:pPr>
        <w:ind w:left="740" w:hanging="368"/>
        <w:spacing w:after="0" w:line="266" w:lineRule="auto"/>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28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76"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our amended and restated bylaws include exclusive forum provisions for substantially all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to the fullest extent permitted by law, the Court of Chancery of the State of Delaware will be the sole and exclusive forum for (1) any derivative action or proceeding brought on our behalf, (2) any action asserting a claim for breach of a fiduciary duty owed by any of our directors, officers or other employees to us or our stockholders, (3) any action asserting a claim arising pursuant to any provision of the General Corporation Law of the State of Delaware, our amended and restated certificate of incorporation or our amended and restated bylaws, or (4) any action asserting a claim governed by the internal affairs doctrine. Under our amended and restated certificate of incorporation, this exclusive forum provision will not apply to claims which are vested in the exclusive jurisdiction of a court or forum other than the Court of Chancery of the State of Delaware, or for which the Court of Chancery of the State of Delaware does not have subject matter jurisdiction. For instance, the provision would not apply to actions arising under federal securities laws, including suits brought to enforce any liability or duty created by the Exchange Act or the rules and regulations thereunder. Further, our amended and restated bylaws provide that, unless we consent in writing to the selection of an alternative forum, to the fullest extent permitted by law, the federal district courts of the United States will be the exclusive forum for the resolution of any complaint asserting a cause of action arising under the Securities Act and that any person or entity purchasing or otherwise acquiring or holding any interest in shares of our capital stock are deemed to have notice of and consented to this provision. 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For example, stockholders who do bring a claim in the Court of Chancery could face additional litigation costs in pursuing any such claim, particularly if they do not reside in or near the State of Delaware. The Court of Chancery may also reach different judgments or results than would other courts, including courts where a stockholder considering an action may be located or would otherwise choose to bring the action, and such judgments or results may be more favorable to us than to our stockholders.</w:t>
      </w:r>
    </w:p>
    <w:p>
      <w:pPr>
        <w:spacing w:after="0" w:line="18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5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We will remain an emerging growth company until the earlier of (1) December 31, 2024, (2) the last day of the fiscal year in which we have total annual gross revenue of $1.07 billion or more, (3) the date on which we have issued more than $1.0 billion in nonconvertible debt during the previous three years, or (4) the date on which we are deemed to be a large accelerated filer under the rules of the SEC which means the market value of our common stock that is held by non-affiliates exceeds $700 million as of the prior June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79" w:lineRule="exact"/>
        <w:rPr>
          <w:sz w:val="20"/>
          <w:szCs w:val="20"/>
          <w:color w:val="auto"/>
        </w:rPr>
      </w:pPr>
    </w:p>
    <w:p>
      <w:pPr>
        <w:ind w:left="740" w:right="640" w:hanging="368"/>
        <w:spacing w:after="0" w:line="282" w:lineRule="auto"/>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“Management’s Discussion and Analysis of Financial Condition and Results of Operations” disclosure in this Quarterly Report on Form 10-Q;</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8" w:right="359" w:bottom="1440" w:gutter="0" w:footer="0" w:header="0"/>
        </w:sectPr>
      </w:pPr>
    </w:p>
    <w:bookmarkStart w:id="85" w:name="page86"/>
    <w:bookmarkEnd w:id="85"/>
    <w:p>
      <w:pPr>
        <w:ind w:left="740" w:hanging="368"/>
        <w:spacing w:after="0"/>
        <w:tabs>
          <w:tab w:leader="none" w:pos="7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 of 2002, as amended;</w:t>
      </w:r>
    </w:p>
    <w:p>
      <w:pPr>
        <w:spacing w:after="0" w:line="225" w:lineRule="exact"/>
        <w:rPr>
          <w:rFonts w:ascii="Times New Roman" w:cs="Times New Roman" w:eastAsia="Times New Roman" w:hAnsi="Times New Roman"/>
          <w:sz w:val="18"/>
          <w:szCs w:val="18"/>
          <w:color w:val="auto"/>
        </w:rPr>
      </w:pPr>
    </w:p>
    <w:p>
      <w:pPr>
        <w:ind w:left="740" w:right="720" w:hanging="368"/>
        <w:spacing w:after="0" w:line="266" w:lineRule="auto"/>
        <w:tabs>
          <w:tab w:leader="none" w:pos="7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75"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in our SEC filings regarding executive compensation; and</w:t>
      </w:r>
    </w:p>
    <w:p>
      <w:pPr>
        <w:spacing w:after="0" w:line="225" w:lineRule="exact"/>
        <w:rPr>
          <w:rFonts w:ascii="Times New Roman" w:cs="Times New Roman" w:eastAsia="Times New Roman" w:hAnsi="Times New Roman"/>
          <w:sz w:val="18"/>
          <w:szCs w:val="18"/>
          <w:color w:val="auto"/>
        </w:rPr>
      </w:pPr>
    </w:p>
    <w:p>
      <w:pPr>
        <w:ind w:left="740" w:right="300" w:hanging="368"/>
        <w:spacing w:after="0" w:line="282" w:lineRule="auto"/>
        <w:tabs>
          <w:tab w:leader="none" w:pos="7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27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take advantage of this extended transition period.</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may choose to take advantage of some, but not all, of the available exemptions for emerging growth companies.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third parties with whom we have relationships may be adversely affected by natural or manmade disasters, public health emergencies and other natural catastrophic events, and our business continuity and disaster recovery plans may not adequately protect us from a serious disaster.</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Natural or manmade disasters could severely disrupt our operations and have a material adverse effect on our business, results of operations, financial condition and prospects. If a natural disaster, public health emergency, power outage or other event occurred that prevented us from using all or a significant portion of our facilities, that damaged our infrastructure or that otherwise disrupted operations, it may be difficult or, in certain cases, impossible for us to continue our business for a substantial period of time, and our research and development activities could be setback or delayed.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and such an event could disrupt our operations, cause us to incur remediation costs, damage our reputation and cause a loss of confidence in us and our or third parties’ ability to conduct clinical trials, which could adversely affect our reputation and delay our research and development programs.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and similar deterioration in the credit and financial markets and confidence in economic conditions may occur in the future. Our general business strategy may be adversely affected by any such economic downturn, volatile business environment or unpredictable and unstable market conditions. If the current equity and credit markets deteriorate, or do not improve,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or others with whom we have strategic relationships may not survive any difficult economic times, which could directly affect our ability to attain our operating goals.</w:t>
      </w:r>
    </w:p>
    <w:p>
      <w:pPr>
        <w:spacing w:after="0" w:line="18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of June 30, 2022, we had cash and cash equivalents of $184.1 million. While we are not aware of any downgrades, material losses or other significant deterioration in the fair value of our cash equivalents since June 30, 2022, deterioration of the global credit and financial markets could negatively impact our current portfolio of cash equivalents or our ability to meet our financing objectives. Furthermore, our stock price may decline due in part to the volatility of the stock market and any general economic downturn.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8" w:right="359" w:bottom="1440" w:gutter="0" w:footer="0" w:header="0"/>
        </w:sectPr>
      </w:pPr>
    </w:p>
    <w:bookmarkStart w:id="86" w:name="page87"/>
    <w:bookmarkEnd w:id="86"/>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fluctuate substantially, which could result in substantial losses for purchasers of our common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our common stock is likely to be highly volatile and may fluctuate substantially due to many factors, including:</w:t>
      </w:r>
    </w:p>
    <w:p>
      <w:pPr>
        <w:spacing w:after="0" w:line="117" w:lineRule="exact"/>
        <w:rPr>
          <w:sz w:val="20"/>
          <w:szCs w:val="20"/>
          <w:color w:val="auto"/>
        </w:rPr>
      </w:pPr>
    </w:p>
    <w:p>
      <w:pPr>
        <w:ind w:left="740" w:hanging="368"/>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inconsistent trading volume levels of our common stock;</w:t>
      </w:r>
    </w:p>
    <w:p>
      <w:pPr>
        <w:spacing w:after="0" w:line="252"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expectations regarding debt or equity financing efforts;</w:t>
      </w:r>
    </w:p>
    <w:p>
      <w:pPr>
        <w:spacing w:after="0" w:line="252"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common stock by us, our insiders or our other stockholders;</w:t>
      </w:r>
    </w:p>
    <w:p>
      <w:pPr>
        <w:spacing w:after="0" w:line="252"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252"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and projections of the investment community or that we provide to the public;</w:t>
      </w:r>
    </w:p>
    <w:p>
      <w:pPr>
        <w:spacing w:after="0" w:line="252"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or delays in our studies or trials, or those of our collaborators, competitors or companies perceived to be similar to us;</w:t>
      </w:r>
    </w:p>
    <w:p>
      <w:pPr>
        <w:spacing w:after="0" w:line="252" w:lineRule="exact"/>
        <w:rPr>
          <w:rFonts w:ascii="Times New Roman" w:cs="Times New Roman" w:eastAsia="Times New Roman" w:hAnsi="Times New Roman"/>
          <w:sz w:val="18"/>
          <w:szCs w:val="18"/>
          <w:color w:val="auto"/>
        </w:rPr>
      </w:pPr>
    </w:p>
    <w:p>
      <w:pPr>
        <w:ind w:left="740" w:right="660" w:hanging="368"/>
        <w:spacing w:after="0" w:line="282" w:lineRule="auto"/>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failure or discontinuation of any of our product development and research programs, or those of our collaborators, competitors or companies perceived to be similar to us;</w:t>
      </w:r>
    </w:p>
    <w:p>
      <w:pPr>
        <w:spacing w:after="0" w:line="161" w:lineRule="exact"/>
        <w:rPr>
          <w:rFonts w:ascii="Times New Roman" w:cs="Times New Roman" w:eastAsia="Times New Roman" w:hAnsi="Times New Roman"/>
          <w:sz w:val="18"/>
          <w:szCs w:val="18"/>
          <w:color w:val="auto"/>
        </w:rPr>
      </w:pPr>
    </w:p>
    <w:p>
      <w:pPr>
        <w:ind w:left="740" w:right="120" w:hanging="368"/>
        <w:spacing w:after="0" w:line="282" w:lineRule="auto"/>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new research programs or product candidates from us or our collaborators, our competitors or companies perceived to be similar to us;</w:t>
      </w:r>
    </w:p>
    <w:p>
      <w:pPr>
        <w:spacing w:after="0" w:line="161" w:lineRule="exact"/>
        <w:rPr>
          <w:rFonts w:ascii="Times New Roman" w:cs="Times New Roman" w:eastAsia="Times New Roman" w:hAnsi="Times New Roman"/>
          <w:sz w:val="18"/>
          <w:szCs w:val="18"/>
          <w:color w:val="auto"/>
        </w:rPr>
      </w:pPr>
    </w:p>
    <w:p>
      <w:pPr>
        <w:ind w:left="740" w:right="60" w:hanging="368"/>
        <w:spacing w:after="0" w:line="282" w:lineRule="auto"/>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collaborators, our competitors or companies perceived to be similar to us relating to significant acquisitions, strategic partnerships or alliances, joint ventures, collaborations or capital commitments;</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 or companies perceived to be similar to us;</w:t>
      </w:r>
    </w:p>
    <w:p>
      <w:pPr>
        <w:spacing w:after="0" w:line="252"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our collaborators, our competitors or companies perceived to be comparable to us;</w:t>
      </w:r>
    </w:p>
    <w:p>
      <w:pPr>
        <w:spacing w:after="0" w:line="252"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limited or withdrawal of coverage by security analysts, or positive or negative recommendations by them;</w:t>
      </w:r>
    </w:p>
    <w:p>
      <w:pPr>
        <w:spacing w:after="0" w:line="252"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changes in estimates as to financial results, development timelines or recommendations by securities analysts;</w:t>
      </w:r>
    </w:p>
    <w:p>
      <w:pPr>
        <w:spacing w:after="0" w:line="252"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genome editing or the biopharmaceutical industries;</w:t>
      </w:r>
    </w:p>
    <w:p>
      <w:pPr>
        <w:spacing w:after="0" w:line="252"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changing views regarding the use of genomic products, including those that involve genome editing;</w:t>
      </w:r>
    </w:p>
    <w:p>
      <w:pPr>
        <w:spacing w:after="0" w:line="252"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252"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52"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any efforts by us to identify, develop, acquire or in-license additional product candidates, products or technologies;</w:t>
      </w:r>
    </w:p>
    <w:p>
      <w:pPr>
        <w:spacing w:after="0" w:line="252" w:lineRule="exact"/>
        <w:rPr>
          <w:rFonts w:ascii="Times New Roman" w:cs="Times New Roman" w:eastAsia="Times New Roman" w:hAnsi="Times New Roman"/>
          <w:sz w:val="18"/>
          <w:szCs w:val="18"/>
          <w:color w:val="auto"/>
        </w:rPr>
      </w:pPr>
    </w:p>
    <w:p>
      <w:pPr>
        <w:ind w:left="740" w:right="120" w:hanging="368"/>
        <w:spacing w:after="0" w:line="282" w:lineRule="auto"/>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any of our product candidates, or those of our competitors or companies perceived to be similar to us;</w:t>
      </w:r>
    </w:p>
    <w:p>
      <w:pPr>
        <w:spacing w:after="0" w:line="161" w:lineRule="exact"/>
        <w:rPr>
          <w:rFonts w:ascii="Times New Roman" w:cs="Times New Roman" w:eastAsia="Times New Roman" w:hAnsi="Times New Roman"/>
          <w:sz w:val="18"/>
          <w:szCs w:val="18"/>
          <w:color w:val="auto"/>
        </w:rPr>
      </w:pPr>
    </w:p>
    <w:p>
      <w:pPr>
        <w:ind w:left="740" w:right="100" w:hanging="368"/>
        <w:spacing w:after="0" w:line="282" w:lineRule="auto"/>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 collaboration agreement, licensing agreement or other strategic arrangement or the inability to establish additional strategic arrangements on favorable terms, or at all;</w:t>
      </w:r>
    </w:p>
    <w:p>
      <w:pPr>
        <w:spacing w:after="0" w:line="161"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any of our product candidates, or those of our competitors or companies perceived to be similar to us;</w:t>
      </w:r>
    </w:p>
    <w:p>
      <w:pPr>
        <w:spacing w:after="0" w:line="252"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52"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52"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physician, hospital, or healthcare provider practices that may make our or our collaborators’ products less useful;</w:t>
      </w:r>
    </w:p>
    <w:p>
      <w:pPr>
        <w:spacing w:after="0" w:line="252"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52"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such as products liability, patent or stockholder litigation;</w:t>
      </w:r>
    </w:p>
    <w:p>
      <w:pPr>
        <w:spacing w:after="0" w:line="252"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of our common stock; and</w:t>
      </w:r>
    </w:p>
    <w:p>
      <w:pPr>
        <w:spacing w:after="0" w:line="252"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36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These factors may have a material adverse effect on the market price and liquidity of our common stock, which may limit or prevent you from readily selling your shares of common stock and may affect our ability to obtain financing or enter into desired strategic relationships.</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82" w:right="419" w:bottom="0" w:gutter="0" w:footer="0" w:header="0"/>
        </w:sectPr>
      </w:pPr>
    </w:p>
    <w:bookmarkStart w:id="87" w:name="page88"/>
    <w:bookmarkEnd w:id="87"/>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issue an adverse or misleading opinion regarding our common stock, our stock price and trading volume could decline.</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securities analysts publish about us or our business. We do not control these analysts. If any of the analysts who cover us issue an adverse or misleading opinion regarding us, our business model, our intellectual property or our stock performance, or if our preclinical studies and clinical trials and operating results fail to meet the expectations of analysts, our stock price would likely decline. If one or more of these analysts ceases coverage of us or fails to publish reports on us regularly, we could lose visibility in the financial markets, which in turn could cause our stock price or trading volume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There were no unregistered sales of equity securities by the Company during the three months ended June 30, 2022 except as reported on the Company’s Current Report on Form 8-K filed on June 21,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20" w:type="dxa"/>
            <w:vAlign w:val="bottom"/>
            <w:gridSpan w:val="7"/>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80" w:type="dxa"/>
            <w:vAlign w:val="bottom"/>
            <w:vMerge w:val="restart"/>
          </w:tcPr>
          <w:p>
            <w:pPr>
              <w:jc w:val="center"/>
              <w:ind w:left="174"/>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20" w:type="dxa"/>
            <w:vAlign w:val="bottom"/>
            <w:vMerge w:val="restart"/>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73"/>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20" w:type="dxa"/>
            <w:vAlign w:val="bottom"/>
            <w:gridSpan w:val="7"/>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90"/>
        </w:trPr>
        <w:tc>
          <w:tcPr>
            <w:tcW w:w="110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4320" w:type="dxa"/>
            <w:vAlign w:val="bottom"/>
            <w:tcBorders>
              <w:top w:val="single" w:sz="8" w:color="auto"/>
            </w:tcBorders>
            <w:gridSpan w:val="9"/>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Amended and Restated Certificate of Incorporation of</w:t>
              </w:r>
            </w:hyperlink>
          </w:p>
        </w:tc>
        <w:tc>
          <w:tcPr>
            <w:tcW w:w="1080" w:type="dxa"/>
            <w:vAlign w:val="bottom"/>
            <w:tcBorders>
              <w:top w:val="single" w:sz="8" w:color="auto"/>
            </w:tcBorders>
          </w:tcPr>
          <w:p>
            <w:pPr>
              <w:jc w:val="center"/>
              <w:ind w:left="194"/>
              <w:spacing w:after="0"/>
              <w:rPr>
                <w:sz w:val="20"/>
                <w:szCs w:val="20"/>
                <w:color w:val="auto"/>
              </w:rPr>
            </w:pPr>
            <w:r>
              <w:rPr>
                <w:rFonts w:ascii="Calibri" w:cs="Calibri" w:eastAsia="Calibri" w:hAnsi="Calibri"/>
                <w:sz w:val="18"/>
                <w:szCs w:val="18"/>
                <w:color w:val="auto"/>
                <w:w w:val="99"/>
              </w:rPr>
              <w:t>8-K</w:t>
            </w:r>
          </w:p>
        </w:tc>
        <w:tc>
          <w:tcPr>
            <w:tcW w:w="1420" w:type="dxa"/>
            <w:vAlign w:val="bottom"/>
            <w:tcBorders>
              <w:top w:val="single" w:sz="8" w:color="auto"/>
            </w:tcBorders>
          </w:tcPr>
          <w:p>
            <w:pPr>
              <w:jc w:val="right"/>
              <w:ind w:right="114"/>
              <w:spacing w:after="0"/>
              <w:rPr>
                <w:sz w:val="20"/>
                <w:szCs w:val="20"/>
                <w:color w:val="auto"/>
              </w:rPr>
            </w:pPr>
            <w:r>
              <w:rPr>
                <w:rFonts w:ascii="Calibri" w:cs="Calibri" w:eastAsia="Calibri" w:hAnsi="Calibri"/>
                <w:sz w:val="18"/>
                <w:szCs w:val="18"/>
                <w:color w:val="auto"/>
              </w:rPr>
              <w:t>001-38841</w:t>
            </w:r>
          </w:p>
        </w:tc>
        <w:tc>
          <w:tcPr>
            <w:tcW w:w="840" w:type="dxa"/>
            <w:vAlign w:val="bottom"/>
            <w:tcBorders>
              <w:top w:val="single" w:sz="8" w:color="auto"/>
            </w:tcBorders>
          </w:tcPr>
          <w:p>
            <w:pPr>
              <w:jc w:val="center"/>
              <w:spacing w:after="0"/>
              <w:rPr>
                <w:sz w:val="20"/>
                <w:szCs w:val="20"/>
                <w:color w:val="auto"/>
              </w:rPr>
            </w:pPr>
            <w:r>
              <w:rPr>
                <w:rFonts w:ascii="Calibri" w:cs="Calibri" w:eastAsia="Calibri" w:hAnsi="Calibri"/>
                <w:sz w:val="18"/>
                <w:szCs w:val="18"/>
                <w:color w:val="auto"/>
                <w:w w:val="96"/>
              </w:rPr>
              <w:t>3.1</w:t>
            </w:r>
          </w:p>
        </w:tc>
        <w:tc>
          <w:tcPr>
            <w:tcW w:w="1120" w:type="dxa"/>
            <w:vAlign w:val="bottom"/>
            <w:tcBorders>
              <w:top w:val="single" w:sz="8" w:color="auto"/>
            </w:tcBorders>
          </w:tcPr>
          <w:p>
            <w:pPr>
              <w:jc w:val="center"/>
              <w:spacing w:after="0"/>
              <w:rPr>
                <w:sz w:val="20"/>
                <w:szCs w:val="20"/>
                <w:color w:val="auto"/>
              </w:rPr>
            </w:pPr>
            <w:r>
              <w:rPr>
                <w:rFonts w:ascii="Calibri" w:cs="Calibri" w:eastAsia="Calibri" w:hAnsi="Calibri"/>
                <w:sz w:val="18"/>
                <w:szCs w:val="18"/>
                <w:color w:val="auto"/>
                <w:w w:val="96"/>
              </w:rPr>
              <w:t>4/1/2019</w:t>
            </w: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Precision BioSciences, Inc.</w:t>
              </w:r>
            </w:hyperlink>
          </w:p>
        </w:tc>
        <w:tc>
          <w:tcPr>
            <w:tcW w:w="440" w:type="dxa"/>
            <w:vAlign w:val="bottom"/>
            <w:gridSpan w:val="5"/>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vMerge w:val="restart"/>
          </w:tcPr>
          <w:p>
            <w:pPr>
              <w:jc w:val="center"/>
              <w:ind w:left="174"/>
              <w:spacing w:after="0"/>
              <w:rPr>
                <w:sz w:val="20"/>
                <w:szCs w:val="20"/>
                <w:color w:val="auto"/>
              </w:rPr>
            </w:pPr>
            <w:r>
              <w:rPr>
                <w:rFonts w:ascii="Calibri" w:cs="Calibri" w:eastAsia="Calibri" w:hAnsi="Calibri"/>
                <w:sz w:val="18"/>
                <w:szCs w:val="18"/>
                <w:color w:val="auto"/>
                <w:w w:val="94"/>
              </w:rPr>
              <w:t>10-Q</w:t>
            </w:r>
          </w:p>
        </w:tc>
        <w:tc>
          <w:tcPr>
            <w:tcW w:w="1420" w:type="dxa"/>
            <w:vAlign w:val="bottom"/>
            <w:vMerge w:val="restart"/>
          </w:tcPr>
          <w:p>
            <w:pPr>
              <w:jc w:val="right"/>
              <w:ind w:right="114"/>
              <w:spacing w:after="0"/>
              <w:rPr>
                <w:sz w:val="20"/>
                <w:szCs w:val="20"/>
                <w:color w:val="auto"/>
              </w:rPr>
            </w:pPr>
            <w:r>
              <w:rPr>
                <w:rFonts w:ascii="Calibri" w:cs="Calibri" w:eastAsia="Calibri" w:hAnsi="Calibri"/>
                <w:sz w:val="18"/>
                <w:szCs w:val="18"/>
                <w:color w:val="auto"/>
              </w:rPr>
              <w:t>001-38841</w:t>
            </w:r>
          </w:p>
        </w:tc>
        <w:tc>
          <w:tcPr>
            <w:tcW w:w="840" w:type="dxa"/>
            <w:vAlign w:val="bottom"/>
            <w:vMerge w:val="restart"/>
          </w:tcPr>
          <w:p>
            <w:pPr>
              <w:jc w:val="center"/>
              <w:spacing w:after="0"/>
              <w:rPr>
                <w:sz w:val="20"/>
                <w:szCs w:val="20"/>
                <w:color w:val="auto"/>
              </w:rPr>
            </w:pPr>
            <w:r>
              <w:rPr>
                <w:rFonts w:ascii="Calibri" w:cs="Calibri" w:eastAsia="Calibri" w:hAnsi="Calibri"/>
                <w:sz w:val="18"/>
                <w:szCs w:val="18"/>
                <w:color w:val="auto"/>
                <w:w w:val="96"/>
              </w:rPr>
              <w:t>3.2</w:t>
            </w:r>
          </w:p>
        </w:tc>
        <w:tc>
          <w:tcPr>
            <w:tcW w:w="1120" w:type="dxa"/>
            <w:vAlign w:val="bottom"/>
            <w:vMerge w:val="restart"/>
          </w:tcPr>
          <w:p>
            <w:pPr>
              <w:jc w:val="center"/>
              <w:spacing w:after="0"/>
              <w:rPr>
                <w:sz w:val="20"/>
                <w:szCs w:val="20"/>
                <w:color w:val="auto"/>
              </w:rPr>
            </w:pPr>
            <w:r>
              <w:rPr>
                <w:rFonts w:ascii="Calibri" w:cs="Calibri" w:eastAsia="Calibri" w:hAnsi="Calibri"/>
                <w:sz w:val="18"/>
                <w:szCs w:val="18"/>
                <w:color w:val="auto"/>
                <w:w w:val="98"/>
              </w:rPr>
              <w:t>11/10/2020</w:t>
            </w: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41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Amended and Restated Bylaws of Precision BioSciences,</w:t>
              </w:r>
            </w:hyperlink>
          </w:p>
        </w:tc>
        <w:tc>
          <w:tcPr>
            <w:tcW w:w="180" w:type="dxa"/>
            <w:vAlign w:val="bottom"/>
            <w:gridSpan w:val="2"/>
          </w:tcPr>
          <w:p>
            <w:pPr>
              <w:spacing w:after="0"/>
              <w:rPr>
                <w:sz w:val="24"/>
                <w:szCs w:val="24"/>
                <w:color w:val="auto"/>
              </w:rPr>
            </w:pPr>
          </w:p>
        </w:tc>
        <w:tc>
          <w:tcPr>
            <w:tcW w:w="1080" w:type="dxa"/>
            <w:vAlign w:val="bottom"/>
            <w:vMerge w:val="continue"/>
          </w:tcPr>
          <w:p>
            <w:pPr>
              <w:spacing w:after="0"/>
              <w:rPr>
                <w:sz w:val="24"/>
                <w:szCs w:val="24"/>
                <w:color w:val="auto"/>
              </w:rPr>
            </w:pPr>
          </w:p>
        </w:tc>
        <w:tc>
          <w:tcPr>
            <w:tcW w:w="142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11">
              <w:r>
                <w:rPr>
                  <w:rFonts w:ascii="Times New Roman" w:cs="Times New Roman" w:eastAsia="Times New Roman" w:hAnsi="Times New Roman"/>
                  <w:sz w:val="18"/>
                  <w:szCs w:val="18"/>
                  <w:color w:val="0000EE"/>
                  <w:w w:val="94"/>
                </w:rPr>
                <w:t>Inc.</w:t>
              </w:r>
            </w:hyperlink>
          </w:p>
        </w:tc>
        <w:tc>
          <w:tcPr>
            <w:tcW w:w="4020" w:type="dxa"/>
            <w:vAlign w:val="bottom"/>
            <w:gridSpan w:val="8"/>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10.1†</w:t>
            </w:r>
          </w:p>
        </w:tc>
        <w:tc>
          <w:tcPr>
            <w:tcW w:w="43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Collaboration and License Agreement, dated June 14, 2022,</w:t>
              </w:r>
            </w:hyperlink>
          </w:p>
        </w:tc>
        <w:tc>
          <w:tcPr>
            <w:tcW w:w="1080" w:type="dxa"/>
            <w:vAlign w:val="bottom"/>
          </w:tcPr>
          <w:p>
            <w:pPr>
              <w:jc w:val="center"/>
              <w:ind w:left="194"/>
              <w:spacing w:after="0"/>
              <w:rPr>
                <w:sz w:val="20"/>
                <w:szCs w:val="20"/>
                <w:color w:val="auto"/>
              </w:rPr>
            </w:pPr>
            <w:r>
              <w:rPr>
                <w:rFonts w:ascii="Calibri" w:cs="Calibri" w:eastAsia="Calibri" w:hAnsi="Calibri"/>
                <w:sz w:val="18"/>
                <w:szCs w:val="18"/>
                <w:color w:val="auto"/>
                <w:w w:val="99"/>
              </w:rPr>
              <w:t>8-K</w:t>
            </w:r>
          </w:p>
        </w:tc>
        <w:tc>
          <w:tcPr>
            <w:tcW w:w="1420" w:type="dxa"/>
            <w:vAlign w:val="bottom"/>
          </w:tcPr>
          <w:p>
            <w:pPr>
              <w:jc w:val="right"/>
              <w:ind w:right="114"/>
              <w:spacing w:after="0"/>
              <w:rPr>
                <w:sz w:val="20"/>
                <w:szCs w:val="20"/>
                <w:color w:val="auto"/>
              </w:rPr>
            </w:pPr>
            <w:r>
              <w:rPr>
                <w:rFonts w:ascii="Calibri" w:cs="Calibri" w:eastAsia="Calibri" w:hAnsi="Calibri"/>
                <w:sz w:val="18"/>
                <w:szCs w:val="18"/>
                <w:color w:val="auto"/>
              </w:rPr>
              <w:t>001-38841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6/21/2022</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gridSpan w:val="9"/>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by and between Precision BioSciences, Inc. and Novartis</w:t>
              </w:r>
            </w:hyperlink>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12">
              <w:r>
                <w:rPr>
                  <w:rFonts w:ascii="Times New Roman" w:cs="Times New Roman" w:eastAsia="Times New Roman" w:hAnsi="Times New Roman"/>
                  <w:sz w:val="18"/>
                  <w:szCs w:val="18"/>
                  <w:color w:val="0000EE"/>
                  <w:w w:val="97"/>
                </w:rPr>
                <w:t>Pharma AG.</w:t>
              </w:r>
            </w:hyperlink>
          </w:p>
        </w:tc>
        <w:tc>
          <w:tcPr>
            <w:tcW w:w="3200" w:type="dxa"/>
            <w:vAlign w:val="bottom"/>
            <w:tcBorders>
              <w:top w:val="single" w:sz="8" w:color="0000EE"/>
            </w:tcBorders>
            <w:gridSpan w:val="4"/>
          </w:tcPr>
          <w:p>
            <w:pPr>
              <w:spacing w:after="0"/>
              <w:rPr>
                <w:sz w:val="17"/>
                <w:szCs w:val="17"/>
                <w:color w:val="auto"/>
              </w:rPr>
            </w:pPr>
          </w:p>
        </w:tc>
        <w:tc>
          <w:tcPr>
            <w:tcW w:w="220" w:type="dxa"/>
            <w:vAlign w:val="bottom"/>
            <w:gridSpan w:val="3"/>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10.2†</w:t>
            </w:r>
          </w:p>
        </w:tc>
        <w:tc>
          <w:tcPr>
            <w:tcW w:w="4320" w:type="dxa"/>
            <w:vAlign w:val="bottom"/>
            <w:gridSpan w:val="9"/>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Stock Purchase Agreement, dated June 14, 2022, by and</w:t>
              </w:r>
            </w:hyperlink>
          </w:p>
        </w:tc>
        <w:tc>
          <w:tcPr>
            <w:tcW w:w="1080" w:type="dxa"/>
            <w:vAlign w:val="bottom"/>
          </w:tcPr>
          <w:p>
            <w:pPr>
              <w:jc w:val="center"/>
              <w:ind w:left="194"/>
              <w:spacing w:after="0"/>
              <w:rPr>
                <w:sz w:val="20"/>
                <w:szCs w:val="20"/>
                <w:color w:val="auto"/>
              </w:rPr>
            </w:pPr>
            <w:r>
              <w:rPr>
                <w:rFonts w:ascii="Calibri" w:cs="Calibri" w:eastAsia="Calibri" w:hAnsi="Calibri"/>
                <w:sz w:val="18"/>
                <w:szCs w:val="18"/>
                <w:color w:val="auto"/>
                <w:w w:val="99"/>
              </w:rPr>
              <w:t>8-K</w:t>
            </w:r>
          </w:p>
        </w:tc>
        <w:tc>
          <w:tcPr>
            <w:tcW w:w="1420" w:type="dxa"/>
            <w:vAlign w:val="bottom"/>
          </w:tcPr>
          <w:p>
            <w:pPr>
              <w:jc w:val="right"/>
              <w:ind w:right="114"/>
              <w:spacing w:after="0"/>
              <w:rPr>
                <w:sz w:val="20"/>
                <w:szCs w:val="20"/>
                <w:color w:val="auto"/>
              </w:rPr>
            </w:pPr>
            <w:r>
              <w:rPr>
                <w:rFonts w:ascii="Calibri" w:cs="Calibri" w:eastAsia="Calibri" w:hAnsi="Calibri"/>
                <w:sz w:val="18"/>
                <w:szCs w:val="18"/>
                <w:color w:val="auto"/>
              </w:rPr>
              <w:t>001-38841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6/21/2022</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740" w:type="dxa"/>
            <w:vAlign w:val="bottom"/>
            <w:gridSpan w:val="4"/>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between Precision BioSciences, Inc. and Novartis Pharma</w:t>
              </w:r>
            </w:hyperlink>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gridSpan w:val="9"/>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AG.</w:t>
              </w:r>
            </w:hyperlink>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ectPr>
          <w:pgSz w:w="11900" w:h="16838" w:orient="portrait"/>
          <w:cols w:equalWidth="0" w:num="1">
            <w:col w:w="11240"/>
          </w:cols>
          <w:pgMar w:left="320" w:top="495" w:right="339" w:bottom="1440" w:gutter="0" w:footer="0" w:header="0"/>
        </w:sectPr>
      </w:pPr>
    </w:p>
    <w:p>
      <w:pPr>
        <w:ind w:left="1200" w:hanging="798"/>
        <w:spacing w:after="0" w:line="255"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114">
        <w:r>
          <w:rPr>
            <w:rFonts w:ascii="Times New Roman" w:cs="Times New Roman" w:eastAsia="Times New Roman" w:hAnsi="Times New Roman"/>
            <w:sz w:val="18"/>
            <w:szCs w:val="18"/>
            <w:u w:val="single" w:color="auto"/>
            <w:color w:val="0000EE"/>
          </w:rPr>
          <w:t xml:space="preserve">Registration Rights Agreement, dated June 15, 2022, by and </w:t>
        </w:r>
      </w:hyperlink>
      <w:r>
        <w:rPr>
          <w:rFonts w:ascii="Calibri" w:cs="Calibri" w:eastAsia="Calibri" w:hAnsi="Calibri"/>
          <w:sz w:val="18"/>
          <w:szCs w:val="18"/>
          <w:color w:val="000000"/>
        </w:rPr>
        <w:t>8-K 001-38841</w:t>
      </w:r>
      <w:r>
        <w:rPr>
          <w:rFonts w:ascii="Times New Roman" w:cs="Times New Roman" w:eastAsia="Times New Roman" w:hAnsi="Times New Roman"/>
          <w:sz w:val="18"/>
          <w:szCs w:val="18"/>
          <w:u w:val="single" w:color="auto"/>
          <w:color w:val="0000EE"/>
        </w:rPr>
        <w:t xml:space="preserve"> </w:t>
      </w:r>
      <w:r>
        <w:rPr>
          <w:rFonts w:ascii="Times New Roman" w:cs="Times New Roman" w:eastAsia="Times New Roman" w:hAnsi="Times New Roman"/>
          <w:sz w:val="18"/>
          <w:szCs w:val="18"/>
          <w:color w:val="000000"/>
        </w:rPr>
        <w:t>10.3 6/21/2022</w:t>
      </w:r>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between Precision BioSciences, Inc. and Novartis Pharma</w:t>
        </w:r>
      </w:hyperlink>
    </w:p>
    <w:p>
      <w:pPr>
        <w:spacing w:after="0" w:line="1" w:lineRule="exact"/>
        <w:rPr>
          <w:sz w:val="20"/>
          <w:szCs w:val="20"/>
          <w:color w:val="auto"/>
        </w:rPr>
      </w:pPr>
    </w:p>
    <w:p>
      <w:pPr>
        <w:ind w:left="1200"/>
        <w:spacing w:after="0"/>
        <w:rPr>
          <w:rFonts w:ascii="Times New Roman" w:cs="Times New Roman" w:eastAsia="Times New Roman" w:hAnsi="Times New Roman"/>
          <w:sz w:val="18"/>
          <w:szCs w:val="18"/>
          <w:u w:val="single" w:color="auto"/>
          <w:color w:val="0000EE"/>
        </w:rPr>
      </w:pPr>
      <w:hyperlink r:id="rId114">
        <w:r>
          <w:rPr>
            <w:rFonts w:ascii="Times New Roman" w:cs="Times New Roman" w:eastAsia="Times New Roman" w:hAnsi="Times New Roman"/>
            <w:sz w:val="18"/>
            <w:szCs w:val="18"/>
            <w:u w:val="single" w:color="auto"/>
            <w:color w:val="0000EE"/>
          </w:rPr>
          <w:t>AG.</w:t>
        </w:r>
      </w:hyperlink>
    </w:p>
    <w:p>
      <w:pPr>
        <w:spacing w:after="0" w:line="84" w:lineRule="exact"/>
        <w:rPr>
          <w:sz w:val="20"/>
          <w:szCs w:val="20"/>
          <w:color w:val="auto"/>
        </w:rPr>
      </w:pPr>
    </w:p>
    <w:p>
      <w:pPr>
        <w:ind w:left="360"/>
        <w:spacing w:after="0" w:line="207" w:lineRule="exact"/>
        <w:tabs>
          <w:tab w:leader="none" w:pos="11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u w:val="single" w:color="auto"/>
          <w:color w:val="0000EE"/>
        </w:rPr>
        <w:t>Non</w:t>
      </w:r>
      <w:r>
        <w:rPr>
          <w:rFonts w:ascii="MS PGothic" w:cs="MS PGothic" w:eastAsia="MS PGothic" w:hAnsi="MS PGothic"/>
          <w:sz w:val="18"/>
          <w:szCs w:val="18"/>
          <w:u w:val="single" w:color="auto"/>
          <w:color w:val="0000EE"/>
        </w:rPr>
        <w:t>‑</w:t>
      </w:r>
      <w:r>
        <w:rPr>
          <w:rFonts w:ascii="Times New Roman" w:cs="Times New Roman" w:eastAsia="Times New Roman" w:hAnsi="Times New Roman"/>
          <w:sz w:val="18"/>
          <w:szCs w:val="18"/>
          <w:u w:val="single" w:color="auto"/>
          <w:color w:val="0000EE"/>
        </w:rPr>
        <w:t>Employee Director Compensation Plan (as amended).</w:t>
      </w:r>
    </w:p>
    <w:p>
      <w:pPr>
        <w:spacing w:after="0" w:line="159" w:lineRule="exact"/>
        <w:rPr>
          <w:sz w:val="20"/>
          <w:szCs w:val="20"/>
          <w:color w:val="auto"/>
        </w:rPr>
      </w:pPr>
    </w:p>
    <w:p>
      <w:pPr>
        <w:ind w:left="400"/>
        <w:spacing w:after="0"/>
        <w:tabs>
          <w:tab w:leader="none" w:pos="118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u w:val="single" w:color="auto"/>
          <w:color w:val="0000EE"/>
        </w:rPr>
        <w:t>Seventh Amendment to Loan and Security Agreement,</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u w:val="single" w:color="auto"/>
          <w:color w:val="0000EE"/>
        </w:rPr>
        <w:t>entered into as of May 27, 2022, by and among Pacific</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u w:val="single" w:color="auto"/>
          <w:color w:val="0000EE"/>
        </w:rPr>
        <w:t>Western Bank, Precision BioSciences, Inc., and Precision</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u w:val="single" w:color="auto"/>
          <w:color w:val="0000EE"/>
        </w:rPr>
        <w:t>PlantSciences, Inc. f/k/a Elo Life Systems, Inc.</w:t>
      </w:r>
    </w:p>
    <w:p>
      <w:pPr>
        <w:spacing w:after="0" w:line="112" w:lineRule="exact"/>
        <w:rPr>
          <w:sz w:val="20"/>
          <w:szCs w:val="20"/>
          <w:color w:val="auto"/>
        </w:rPr>
      </w:pPr>
    </w:p>
    <w:p>
      <w:pPr>
        <w:ind w:left="400"/>
        <w:spacing w:after="0"/>
        <w:tabs>
          <w:tab w:leader="none" w:pos="11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EE"/>
        </w:rPr>
        <w:t>Certification of Principal Executive Officer Pursuant to Rules</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u w:val="single" w:color="auto"/>
          <w:color w:val="0000EE"/>
        </w:rPr>
        <w:t>13a-14(a) and 15d-14(a) under the Securities Exchange Act</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u w:val="single" w:color="auto"/>
          <w:color w:val="0000EE"/>
        </w:rPr>
        <w:t>of 1934, as Adopted Pursuant to Section 302 of the Sarbanes-</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u w:val="single" w:color="auto"/>
          <w:color w:val="0000EE"/>
        </w:rPr>
        <w:t>Oxley Act of 2002.</w:t>
      </w:r>
    </w:p>
    <w:p>
      <w:pPr>
        <w:spacing w:after="0" w:line="112" w:lineRule="exact"/>
        <w:rPr>
          <w:sz w:val="20"/>
          <w:szCs w:val="20"/>
          <w:color w:val="auto"/>
        </w:rPr>
      </w:pPr>
    </w:p>
    <w:p>
      <w:pPr>
        <w:ind w:left="400"/>
        <w:spacing w:after="0"/>
        <w:tabs>
          <w:tab w:leader="none" w:pos="11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EE"/>
        </w:rPr>
        <w:t>Certification of Principal Financial Officer Pursuant to Rules</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u w:val="single" w:color="auto"/>
          <w:color w:val="0000EE"/>
        </w:rPr>
        <w:t>13a-14(a) and 15d-14(a) under the Securities Exchange Act</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u w:val="single" w:color="auto"/>
          <w:color w:val="0000EE"/>
        </w:rPr>
        <w:t>of 1934, as Adopted Pursuant to Section 302 of the Sarbanes-</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u w:val="single" w:color="auto"/>
          <w:color w:val="0000EE"/>
        </w:rPr>
        <w:t>Oxley Act of 2002.</w:t>
      </w:r>
    </w:p>
    <w:p>
      <w:pPr>
        <w:spacing w:after="0" w:line="112" w:lineRule="exact"/>
        <w:rPr>
          <w:sz w:val="20"/>
          <w:szCs w:val="20"/>
          <w:color w:val="auto"/>
        </w:rPr>
      </w:pPr>
    </w:p>
    <w:p>
      <w:pPr>
        <w:ind w:left="400"/>
        <w:spacing w:after="0"/>
        <w:tabs>
          <w:tab w:leader="none" w:pos="11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u w:val="single" w:color="auto"/>
          <w:color w:val="0000EE"/>
        </w:rPr>
        <w:t>Certification of Principal Executive Officer Pursuant to 18</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u w:val="single" w:color="auto"/>
          <w:color w:val="0000EE"/>
        </w:rPr>
        <w:t>U.S.C. Section 1350, as Adopted Pursuant to Section 906 of</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u w:val="single" w:color="auto"/>
          <w:color w:val="0000EE"/>
        </w:rPr>
        <w:t>the Sarbanes-Oxley Act of 2002.</w:t>
      </w:r>
    </w:p>
    <w:p>
      <w:pPr>
        <w:spacing w:after="0" w:line="112" w:lineRule="exact"/>
        <w:rPr>
          <w:sz w:val="20"/>
          <w:szCs w:val="20"/>
          <w:color w:val="auto"/>
        </w:rPr>
      </w:pPr>
    </w:p>
    <w:p>
      <w:pPr>
        <w:ind w:left="400"/>
        <w:spacing w:after="0"/>
        <w:tabs>
          <w:tab w:leader="none" w:pos="118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u w:val="single" w:color="auto"/>
          <w:color w:val="0000EE"/>
        </w:rPr>
        <w:t>Certification of Principal Financial Officer Pursuant to 18</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u w:val="single" w:color="auto"/>
          <w:color w:val="0000EE"/>
        </w:rPr>
        <w:t>U.S.C. Section 1350, as Adopted Pursuant to Section 906 of</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u w:val="single" w:color="auto"/>
          <w:color w:val="0000EE"/>
        </w:rPr>
        <w:t>the Sarbanes-Oxley Act of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Calibri" w:cs="Calibri" w:eastAsia="Calibri" w:hAnsi="Calibri"/>
          <w:sz w:val="18"/>
          <w:szCs w:val="18"/>
          <w:b w:val="1"/>
          <w:bCs w:val="1"/>
          <w:color w:val="auto"/>
        </w:rPr>
        <w:t>*</w:t>
      </w:r>
    </w:p>
    <w:p>
      <w:pPr>
        <w:spacing w:after="0" w:line="118" w:lineRule="exact"/>
        <w:rPr>
          <w:sz w:val="20"/>
          <w:szCs w:val="20"/>
          <w:color w:val="auto"/>
        </w:rPr>
      </w:pPr>
    </w:p>
    <w:p>
      <w:pPr>
        <w:ind w:left="40"/>
        <w:spacing w:after="0"/>
        <w:rPr>
          <w:sz w:val="20"/>
          <w:szCs w:val="20"/>
          <w:color w:val="auto"/>
        </w:rPr>
      </w:pPr>
      <w:r>
        <w:rPr>
          <w:rFonts w:ascii="Calibri" w:cs="Calibri" w:eastAsia="Calibri" w:hAnsi="Calibri"/>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Calibri" w:cs="Calibri" w:eastAsia="Calibri" w:hAnsi="Calibri"/>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0"/>
        <w:spacing w:after="0"/>
        <w:rPr>
          <w:sz w:val="20"/>
          <w:szCs w:val="20"/>
          <w:color w:val="auto"/>
        </w:rPr>
      </w:pPr>
      <w:r>
        <w:rPr>
          <w:rFonts w:ascii="Calibri" w:cs="Calibri" w:eastAsia="Calibri" w:hAnsi="Calibri"/>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w:t>
      </w:r>
    </w:p>
    <w:p>
      <w:pPr>
        <w:spacing w:after="0" w:line="342" w:lineRule="exact"/>
        <w:rPr>
          <w:sz w:val="20"/>
          <w:szCs w:val="20"/>
          <w:color w:val="auto"/>
        </w:rPr>
      </w:pPr>
    </w:p>
    <w:p>
      <w:pPr>
        <w:sectPr>
          <w:pgSz w:w="11900" w:h="16838" w:orient="portrait"/>
          <w:cols w:equalWidth="0" w:num="2">
            <w:col w:w="9800" w:space="720"/>
            <w:col w:w="720"/>
          </w:cols>
          <w:pgMar w:left="320" w:top="495" w:right="339" w:bottom="1440" w:gutter="0" w:footer="0" w:header="0"/>
          <w:type w:val="continuous"/>
        </w:sectPr>
      </w:pPr>
    </w:p>
    <w:tbl>
      <w:tblPr>
        <w:tblLayout w:type="fixed"/>
        <w:tblInd w:w="26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2580" w:type="dxa"/>
            <w:vAlign w:val="bottom"/>
            <w:vMerge w:val="restart"/>
          </w:tcPr>
          <w:p>
            <w:pPr>
              <w:jc w:val="right"/>
              <w:spacing w:after="0"/>
              <w:rPr>
                <w:sz w:val="20"/>
                <w:szCs w:val="20"/>
                <w:color w:val="auto"/>
              </w:rPr>
            </w:pPr>
            <w:r>
              <w:rPr>
                <w:rFonts w:ascii="Calibri" w:cs="Calibri" w:eastAsia="Calibri" w:hAnsi="Calibri"/>
                <w:sz w:val="18"/>
                <w:szCs w:val="18"/>
                <w:b w:val="1"/>
                <w:bCs w:val="1"/>
                <w:color w:val="auto"/>
              </w:rPr>
              <w:t>*</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does not appear in the Interactive Data file because its XBRL</w:t>
            </w:r>
          </w:p>
        </w:tc>
        <w:tc>
          <w:tcPr>
            <w:tcW w:w="2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1">
            <w:col w:w="11240"/>
          </w:cols>
          <w:pgMar w:left="320" w:top="495" w:right="339" w:bottom="1440" w:gutter="0" w:footer="0" w:header="0"/>
          <w:type w:val="continuous"/>
        </w:sectPr>
      </w:pPr>
    </w:p>
    <w:p>
      <w:pPr>
        <w:spacing w:after="0" w:line="9"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1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34"/>
        </w:trPr>
        <w:tc>
          <w:tcPr>
            <w:tcW w:w="82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Document</w:t>
            </w:r>
          </w:p>
        </w:tc>
      </w:tr>
      <w:tr>
        <w:trPr>
          <w:trHeight w:val="31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34"/>
        </w:trPr>
        <w:tc>
          <w:tcPr>
            <w:tcW w:w="82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Document</w:t>
            </w:r>
          </w:p>
        </w:tc>
      </w:tr>
      <w:tr>
        <w:trPr>
          <w:trHeight w:val="31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34"/>
        </w:trPr>
        <w:tc>
          <w:tcPr>
            <w:tcW w:w="82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Document</w:t>
            </w:r>
          </w:p>
        </w:tc>
      </w:tr>
      <w:tr>
        <w:trPr>
          <w:trHeight w:val="319"/>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w:t>
            </w:r>
          </w:p>
        </w:tc>
      </w:tr>
      <w:tr>
        <w:trPr>
          <w:trHeight w:val="234"/>
        </w:trPr>
        <w:tc>
          <w:tcPr>
            <w:tcW w:w="82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198" w:lineRule="exact"/>
        <w:rPr>
          <w:sz w:val="20"/>
          <w:szCs w:val="20"/>
          <w:color w:val="auto"/>
        </w:rPr>
      </w:pPr>
    </w:p>
    <w:p>
      <w:pPr>
        <w:ind w:left="1200" w:right="4620" w:hanging="780"/>
        <w:spacing w:after="0" w:line="282" w:lineRule="auto"/>
        <w:tabs>
          <w:tab w:leader="none" w:pos="12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(as formatted as Inline XBRL and contained in Exhibit 101)</w:t>
      </w:r>
    </w:p>
    <w:p>
      <w:pPr>
        <w:spacing w:after="0" w:line="29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4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19030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5" w:lineRule="exact"/>
        <w:rPr>
          <w:sz w:val="20"/>
          <w:szCs w:val="20"/>
          <w:color w:val="auto"/>
        </w:rPr>
      </w:pPr>
    </w:p>
    <w:p>
      <w:pPr>
        <w:jc w:val="right"/>
        <w:ind w:right="412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18"/>
          <w:szCs w:val="18"/>
          <w:b w:val="1"/>
          <w:bCs w:val="1"/>
          <w:color w:val="auto"/>
        </w:rPr>
        <w:t>*</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w:t>
      </w:r>
    </w:p>
    <w:p>
      <w:pPr>
        <w:spacing w:after="0" w:line="33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w:t>
      </w:r>
    </w:p>
    <w:p>
      <w:pPr>
        <w:spacing w:after="0" w:line="33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w:t>
      </w:r>
    </w:p>
    <w:p>
      <w:pPr>
        <w:spacing w:after="0" w:line="33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9840" w:space="720"/>
            <w:col w:w="680"/>
          </w:cols>
          <w:pgMar w:left="320" w:top="495" w:right="339" w:bottom="1440" w:gutter="0" w:footer="0" w:header="0"/>
          <w:type w:val="continuous"/>
        </w:sectPr>
      </w:pPr>
    </w:p>
    <w:bookmarkStart w:id="89" w:name="page90"/>
    <w:bookmarkEnd w:id="89"/>
    <w:p>
      <w:pPr>
        <w:ind w:left="380" w:hanging="372"/>
        <w:spacing w:after="0"/>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 management contract or compensation plan or arrangement.</w:t>
      </w:r>
    </w:p>
    <w:p>
      <w:pPr>
        <w:spacing w:after="0" w:line="27" w:lineRule="exact"/>
        <w:rPr>
          <w:sz w:val="20"/>
          <w:szCs w:val="20"/>
          <w:color w:val="auto"/>
        </w:rPr>
      </w:pPr>
    </w:p>
    <w:p>
      <w:pPr>
        <w:ind w:left="380" w:hanging="372"/>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601(b)(10)(iv) of Regulation S-K.</w:t>
      </w:r>
    </w:p>
    <w:p>
      <w:pPr>
        <w:spacing w:after="0" w:line="24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Certain agreements filed as exhibits to this Quarterly Report on Form 10-Q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that may not be reflected in such agreements.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Precision BioSciences, Inc.</w:t>
      </w:r>
    </w:p>
    <w:p>
      <w:pPr>
        <w:spacing w:after="0" w:line="252" w:lineRule="exact"/>
        <w:rPr>
          <w:sz w:val="20"/>
          <w:szCs w:val="20"/>
          <w:color w:val="auto"/>
        </w:rPr>
      </w:pPr>
    </w:p>
    <w:p>
      <w:pPr>
        <w:spacing w:after="0"/>
        <w:tabs>
          <w:tab w:leader="none" w:pos="5260" w:val="left"/>
          <w:tab w:leader="none" w:pos="7660" w:val="left"/>
        </w:tabs>
        <w:rPr>
          <w:sz w:val="20"/>
          <w:szCs w:val="20"/>
          <w:color w:val="auto"/>
        </w:rPr>
      </w:pPr>
      <w:r>
        <w:rPr>
          <w:rFonts w:ascii="Times New Roman" w:cs="Times New Roman" w:eastAsia="Times New Roman" w:hAnsi="Times New Roman"/>
          <w:sz w:val="18"/>
          <w:szCs w:val="18"/>
          <w:color w:val="auto"/>
        </w:rPr>
        <w:t>Date: August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Amoroso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2"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Michael Amoroso</w:t>
      </w:r>
    </w:p>
    <w:p>
      <w:pPr>
        <w:spacing w:after="0" w:line="3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23"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(principal executive officer and authorized signatory)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2022</w:t>
            </w:r>
          </w:p>
        </w:tc>
        <w:tc>
          <w:tcPr>
            <w:tcW w:w="314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/s/ John Alexander Kelly</w:t>
            </w:r>
          </w:p>
        </w:tc>
      </w:tr>
      <w:tr>
        <w:trPr>
          <w:trHeight w:val="214"/>
        </w:trPr>
        <w:tc>
          <w:tcPr>
            <w:tcW w:w="3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680" w:type="dxa"/>
            <w:vAlign w:val="bottom"/>
            <w:tcBorders>
              <w:top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John Alexander Kelly</w:t>
            </w:r>
          </w:p>
        </w:tc>
      </w:tr>
      <w:tr>
        <w:trPr>
          <w:trHeight w:val="216"/>
        </w:trPr>
        <w:tc>
          <w:tcPr>
            <w:tcW w:w="3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8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34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8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r>
      <w:tr>
        <w:trPr>
          <w:trHeight w:val="675"/>
        </w:trPr>
        <w:tc>
          <w:tcPr>
            <w:tcW w:w="3420" w:type="dxa"/>
            <w:vAlign w:val="bottom"/>
          </w:tcPr>
          <w:p>
            <w:pPr>
              <w:spacing w:after="0"/>
              <w:rPr>
                <w:sz w:val="24"/>
                <w:szCs w:val="24"/>
                <w:color w:val="auto"/>
              </w:rPr>
            </w:pPr>
          </w:p>
        </w:tc>
        <w:tc>
          <w:tcPr>
            <w:tcW w:w="31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91</w:t>
            </w:r>
          </w:p>
        </w:tc>
        <w:tc>
          <w:tcPr>
            <w:tcW w:w="4680" w:type="dxa"/>
            <w:vAlign w:val="bottom"/>
          </w:tcPr>
          <w:p>
            <w:pPr>
              <w:spacing w:after="0"/>
              <w:rPr>
                <w:sz w:val="24"/>
                <w:szCs w:val="24"/>
                <w:color w:val="auto"/>
              </w:rPr>
            </w:pPr>
          </w:p>
        </w:tc>
      </w:tr>
    </w:tbl>
    <w:p>
      <w:pPr>
        <w:sectPr>
          <w:pgSz w:w="11900" w:h="16838" w:orient="portrait"/>
          <w:cols w:equalWidth="0" w:num="1">
            <w:col w:w="11240"/>
          </w:cols>
          <w:pgMar w:left="320" w:top="266" w:right="339" w:bottom="1440" w:gutter="0" w:footer="0" w:header="0"/>
        </w:sectPr>
      </w:pPr>
    </w:p>
    <w:bookmarkStart w:id="91" w:name="page92"/>
    <w:bookmarkEnd w:id="91"/>
    <w:p>
      <w:pPr>
        <w:ind w:left="10120"/>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recision</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ciences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rogram</w:t>
      </w:r>
    </w:p>
    <w:p>
      <w:pPr>
        <w:spacing w:after="0" w:line="231"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22"/>
          <w:szCs w:val="22"/>
          <w:color w:val="auto"/>
        </w:rPr>
        <w:t>Non-employee members of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Precision BioSciences,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shall receive cash and equity compensation as set forth in this Non-Employee Director Compensation Program, as amended from time to time (this “</w:t>
      </w:r>
      <w:r>
        <w:rPr>
          <w:rFonts w:ascii="Times New Roman" w:cs="Times New Roman" w:eastAsia="Times New Roman" w:hAnsi="Times New Roman"/>
          <w:sz w:val="22"/>
          <w:szCs w:val="22"/>
          <w:b w:val="1"/>
          <w:bCs w:val="1"/>
          <w:i w:val="1"/>
          <w:iCs w:val="1"/>
          <w:color w:val="auto"/>
        </w:rPr>
        <w:t>Program</w:t>
      </w:r>
      <w:r>
        <w:rPr>
          <w:rFonts w:ascii="Times New Roman" w:cs="Times New Roman" w:eastAsia="Times New Roman" w:hAnsi="Times New Roman"/>
          <w:sz w:val="22"/>
          <w:szCs w:val="22"/>
          <w:color w:val="auto"/>
        </w:rPr>
        <w:t>”).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Times New Roman" w:cs="Times New Roman" w:eastAsia="Times New Roman" w:hAnsi="Times New Roman"/>
          <w:sz w:val="22"/>
          <w:szCs w:val="22"/>
          <w:b w:val="1"/>
          <w:bCs w:val="1"/>
          <w:i w:val="1"/>
          <w:iCs w:val="1"/>
          <w:color w:val="auto"/>
        </w:rPr>
        <w:t>Non-Employee Director</w:t>
      </w:r>
      <w:r>
        <w:rPr>
          <w:rFonts w:ascii="Times New Roman" w:cs="Times New Roman" w:eastAsia="Times New Roman" w:hAnsi="Times New Roman"/>
          <w:sz w:val="22"/>
          <w:szCs w:val="22"/>
          <w:color w:val="auto"/>
        </w:rPr>
        <w:t>”) who is entitled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except for equity compensation previously granted to a Non-Employee Director.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ash</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schedule of annual retainers (the “</w:t>
      </w:r>
      <w:r>
        <w:rPr>
          <w:rFonts w:ascii="Times New Roman" w:cs="Times New Roman" w:eastAsia="Times New Roman" w:hAnsi="Times New Roman"/>
          <w:sz w:val="22"/>
          <w:szCs w:val="22"/>
          <w:b w:val="1"/>
          <w:bCs w:val="1"/>
          <w:i w:val="1"/>
          <w:iCs w:val="1"/>
          <w:color w:val="auto"/>
        </w:rPr>
        <w:t>Annual Retainers</w:t>
      </w:r>
      <w:r>
        <w:rPr>
          <w:rFonts w:ascii="Times New Roman" w:cs="Times New Roman" w:eastAsia="Times New Roman" w:hAnsi="Times New Roman"/>
          <w:sz w:val="22"/>
          <w:szCs w:val="22"/>
          <w:color w:val="auto"/>
        </w:rPr>
        <w:t>”) for the Non-Employee Directors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Borders>
              <w:right w:val="single" w:sz="8" w:color="auto"/>
            </w:tcBorders>
          </w:tcPr>
          <w:p>
            <w:pPr>
              <w:spacing w:after="0"/>
              <w:rPr>
                <w:sz w:val="18"/>
                <w:szCs w:val="18"/>
                <w:color w:val="auto"/>
              </w:rPr>
            </w:pPr>
          </w:p>
        </w:tc>
        <w:tc>
          <w:tcPr>
            <w:tcW w:w="2880" w:type="dxa"/>
            <w:vAlign w:val="bottom"/>
            <w:tcBorders>
              <w:top w:val="single" w:sz="8" w:color="auto"/>
            </w:tcBorders>
            <w:shd w:val="clear" w:color="auto" w:fill="BFBFBF"/>
          </w:tcPr>
          <w:p>
            <w:pPr>
              <w:spacing w:after="0"/>
              <w:rPr>
                <w:sz w:val="18"/>
                <w:szCs w:val="18"/>
                <w:color w:val="auto"/>
              </w:rPr>
            </w:pPr>
          </w:p>
        </w:tc>
        <w:tc>
          <w:tcPr>
            <w:tcW w:w="3660" w:type="dxa"/>
            <w:vAlign w:val="bottom"/>
            <w:tcBorders>
              <w:top w:val="single" w:sz="8" w:color="auto"/>
              <w:right w:val="single" w:sz="8" w:color="auto"/>
            </w:tcBorders>
            <w:gridSpan w:val="2"/>
            <w:shd w:val="clear" w:color="auto" w:fill="BFBFBF"/>
          </w:tcPr>
          <w:p>
            <w:pPr>
              <w:spacing w:after="0" w:line="216" w:lineRule="exact"/>
              <w:rPr>
                <w:sz w:val="20"/>
                <w:szCs w:val="20"/>
                <w:color w:val="auto"/>
              </w:rPr>
            </w:pPr>
            <w:r>
              <w:rPr>
                <w:rFonts w:ascii="Times New Roman" w:cs="Times New Roman" w:eastAsia="Times New Roman" w:hAnsi="Times New Roman"/>
                <w:sz w:val="22"/>
                <w:szCs w:val="22"/>
                <w:b w:val="1"/>
                <w:bCs w:val="1"/>
                <w:color w:val="auto"/>
              </w:rPr>
              <w:t>Position</w:t>
            </w:r>
          </w:p>
        </w:tc>
        <w:tc>
          <w:tcPr>
            <w:tcW w:w="1100" w:type="dxa"/>
            <w:vAlign w:val="bottom"/>
            <w:tcBorders>
              <w:top w:val="single" w:sz="8" w:color="auto"/>
            </w:tcBorders>
            <w:shd w:val="clear" w:color="auto" w:fill="BFBFBF"/>
          </w:tcPr>
          <w:p>
            <w:pPr>
              <w:spacing w:after="0"/>
              <w:rPr>
                <w:sz w:val="18"/>
                <w:szCs w:val="18"/>
                <w:color w:val="auto"/>
              </w:rPr>
            </w:pPr>
          </w:p>
        </w:tc>
        <w:tc>
          <w:tcPr>
            <w:tcW w:w="1880" w:type="dxa"/>
            <w:vAlign w:val="bottom"/>
            <w:tcBorders>
              <w:top w:val="single" w:sz="8" w:color="auto"/>
              <w:right w:val="single" w:sz="8" w:color="auto"/>
            </w:tcBorders>
            <w:gridSpan w:val="2"/>
            <w:shd w:val="clear" w:color="auto" w:fill="BFBFBF"/>
          </w:tcPr>
          <w:p>
            <w:pPr>
              <w:spacing w:after="0" w:line="216" w:lineRule="exact"/>
              <w:rPr>
                <w:sz w:val="20"/>
                <w:szCs w:val="20"/>
                <w:color w:val="auto"/>
              </w:rPr>
            </w:pPr>
            <w:r>
              <w:rPr>
                <w:rFonts w:ascii="Times New Roman" w:cs="Times New Roman" w:eastAsia="Times New Roman" w:hAnsi="Times New Roman"/>
                <w:sz w:val="22"/>
                <w:szCs w:val="22"/>
                <w:b w:val="1"/>
                <w:bCs w:val="1"/>
                <w:color w:val="auto"/>
              </w:rPr>
              <w:t>Amount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880" w:type="dxa"/>
            <w:vAlign w:val="bottom"/>
            <w:tcBorders>
              <w:right w:val="single" w:sz="8" w:color="auto"/>
            </w:tcBorders>
          </w:tcPr>
          <w:p>
            <w:pPr>
              <w:spacing w:after="0"/>
              <w:rPr>
                <w:sz w:val="11"/>
                <w:szCs w:val="11"/>
                <w:color w:val="auto"/>
              </w:rPr>
            </w:pPr>
          </w:p>
        </w:tc>
        <w:tc>
          <w:tcPr>
            <w:tcW w:w="2880" w:type="dxa"/>
            <w:vAlign w:val="bottom"/>
            <w:tcBorders>
              <w:top w:val="single" w:sz="8" w:color="BFBFBF"/>
              <w:bottom w:val="single" w:sz="8" w:color="auto"/>
            </w:tcBorders>
            <w:shd w:val="clear" w:color="auto" w:fill="BFBFBF"/>
          </w:tcPr>
          <w:p>
            <w:pPr>
              <w:spacing w:after="0"/>
              <w:rPr>
                <w:sz w:val="11"/>
                <w:szCs w:val="11"/>
                <w:color w:val="auto"/>
              </w:rPr>
            </w:pPr>
          </w:p>
        </w:tc>
        <w:tc>
          <w:tcPr>
            <w:tcW w:w="740" w:type="dxa"/>
            <w:vAlign w:val="bottom"/>
            <w:tcBorders>
              <w:top w:val="single" w:sz="8" w:color="auto"/>
              <w:bottom w:val="single" w:sz="8" w:color="auto"/>
            </w:tcBorders>
            <w:shd w:val="clear" w:color="auto" w:fill="BFBFBF"/>
          </w:tcPr>
          <w:p>
            <w:pPr>
              <w:spacing w:after="0"/>
              <w:rPr>
                <w:sz w:val="11"/>
                <w:szCs w:val="11"/>
                <w:color w:val="auto"/>
              </w:rPr>
            </w:pPr>
          </w:p>
        </w:tc>
        <w:tc>
          <w:tcPr>
            <w:tcW w:w="2920" w:type="dxa"/>
            <w:vAlign w:val="bottom"/>
            <w:tcBorders>
              <w:top w:val="single" w:sz="8" w:color="BFBFBF"/>
              <w:bottom w:val="single" w:sz="8" w:color="auto"/>
              <w:right w:val="single" w:sz="8" w:color="auto"/>
            </w:tcBorders>
            <w:shd w:val="clear" w:color="auto" w:fill="BFBFBF"/>
          </w:tcPr>
          <w:p>
            <w:pPr>
              <w:spacing w:after="0"/>
              <w:rPr>
                <w:sz w:val="11"/>
                <w:szCs w:val="11"/>
                <w:color w:val="auto"/>
              </w:rPr>
            </w:pPr>
          </w:p>
        </w:tc>
        <w:tc>
          <w:tcPr>
            <w:tcW w:w="1100" w:type="dxa"/>
            <w:vAlign w:val="bottom"/>
            <w:tcBorders>
              <w:top w:val="single" w:sz="8" w:color="BFBFBF"/>
              <w:bottom w:val="single" w:sz="8" w:color="auto"/>
            </w:tcBorders>
            <w:shd w:val="clear" w:color="auto" w:fill="BFBFBF"/>
          </w:tcPr>
          <w:p>
            <w:pPr>
              <w:spacing w:after="0"/>
              <w:rPr>
                <w:sz w:val="11"/>
                <w:szCs w:val="11"/>
                <w:color w:val="auto"/>
              </w:rPr>
            </w:pPr>
          </w:p>
        </w:tc>
        <w:tc>
          <w:tcPr>
            <w:tcW w:w="760" w:type="dxa"/>
            <w:vAlign w:val="bottom"/>
            <w:tcBorders>
              <w:top w:val="single" w:sz="8" w:color="auto"/>
              <w:bottom w:val="single" w:sz="8" w:color="auto"/>
            </w:tcBorders>
            <w:shd w:val="clear" w:color="auto" w:fill="BFBFBF"/>
          </w:tcPr>
          <w:p>
            <w:pPr>
              <w:spacing w:after="0"/>
              <w:rPr>
                <w:sz w:val="11"/>
                <w:szCs w:val="11"/>
                <w:color w:val="auto"/>
              </w:rPr>
            </w:pPr>
          </w:p>
        </w:tc>
        <w:tc>
          <w:tcPr>
            <w:tcW w:w="1120" w:type="dxa"/>
            <w:vAlign w:val="bottom"/>
            <w:tcBorders>
              <w:top w:val="single" w:sz="8" w:color="BFBFBF"/>
              <w:bottom w:val="single" w:sz="8" w:color="auto"/>
              <w:right w:val="single" w:sz="8" w:color="auto"/>
            </w:tcBorders>
            <w:shd w:val="clear" w:color="auto" w:fill="BFBFBF"/>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7"/>
        </w:trPr>
        <w:tc>
          <w:tcPr>
            <w:tcW w:w="880" w:type="dxa"/>
            <w:vAlign w:val="bottom"/>
            <w:tcBorders>
              <w:right w:val="single" w:sz="8" w:color="auto"/>
            </w:tcBorders>
          </w:tcPr>
          <w:p>
            <w:pPr>
              <w:spacing w:after="0"/>
              <w:rPr>
                <w:sz w:val="24"/>
                <w:szCs w:val="24"/>
                <w:color w:val="auto"/>
              </w:rPr>
            </w:pPr>
          </w:p>
        </w:tc>
        <w:tc>
          <w:tcPr>
            <w:tcW w:w="65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Base Board Fee (Non-Chair)</w:t>
            </w:r>
          </w:p>
        </w:tc>
        <w:tc>
          <w:tcPr>
            <w:tcW w:w="1860" w:type="dxa"/>
            <w:vAlign w:val="bottom"/>
            <w:gridSpan w:val="2"/>
          </w:tcPr>
          <w:p>
            <w:pPr>
              <w:jc w:val="center"/>
              <w:ind w:left="972"/>
              <w:spacing w:after="0"/>
              <w:rPr>
                <w:sz w:val="20"/>
                <w:szCs w:val="20"/>
                <w:color w:val="auto"/>
              </w:rPr>
            </w:pPr>
            <w:r>
              <w:rPr>
                <w:rFonts w:ascii="Times New Roman" w:cs="Times New Roman" w:eastAsia="Times New Roman" w:hAnsi="Times New Roman"/>
                <w:sz w:val="22"/>
                <w:szCs w:val="22"/>
                <w:color w:val="auto"/>
                <w:w w:val="97"/>
              </w:rPr>
              <w:t>$40,000</w:t>
            </w:r>
          </w:p>
        </w:tc>
        <w:tc>
          <w:tcPr>
            <w:tcW w:w="112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880" w:type="dxa"/>
            <w:vAlign w:val="bottom"/>
            <w:tcBorders>
              <w:right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920" w:type="dxa"/>
            <w:vAlign w:val="bottom"/>
            <w:tcBorders>
              <w:bottom w:val="single" w:sz="8" w:color="auto"/>
              <w:right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7"/>
        </w:trPr>
        <w:tc>
          <w:tcPr>
            <w:tcW w:w="880" w:type="dxa"/>
            <w:vAlign w:val="bottom"/>
            <w:tcBorders>
              <w:right w:val="single" w:sz="8" w:color="auto"/>
            </w:tcBorders>
          </w:tcPr>
          <w:p>
            <w:pPr>
              <w:spacing w:after="0"/>
              <w:rPr>
                <w:sz w:val="24"/>
                <w:szCs w:val="24"/>
                <w:color w:val="auto"/>
              </w:rPr>
            </w:pPr>
          </w:p>
        </w:tc>
        <w:tc>
          <w:tcPr>
            <w:tcW w:w="65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Base Board Fee (Chair of the Board)</w:t>
            </w:r>
          </w:p>
        </w:tc>
        <w:tc>
          <w:tcPr>
            <w:tcW w:w="1860" w:type="dxa"/>
            <w:vAlign w:val="bottom"/>
            <w:gridSpan w:val="2"/>
          </w:tcPr>
          <w:p>
            <w:pPr>
              <w:jc w:val="center"/>
              <w:ind w:left="972"/>
              <w:spacing w:after="0"/>
              <w:rPr>
                <w:sz w:val="20"/>
                <w:szCs w:val="20"/>
                <w:color w:val="auto"/>
              </w:rPr>
            </w:pPr>
            <w:r>
              <w:rPr>
                <w:rFonts w:ascii="Times New Roman" w:cs="Times New Roman" w:eastAsia="Times New Roman" w:hAnsi="Times New Roman"/>
                <w:sz w:val="22"/>
                <w:szCs w:val="22"/>
                <w:color w:val="auto"/>
                <w:w w:val="97"/>
              </w:rPr>
              <w:t>$72,500</w:t>
            </w:r>
          </w:p>
        </w:tc>
        <w:tc>
          <w:tcPr>
            <w:tcW w:w="112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880" w:type="dxa"/>
            <w:vAlign w:val="bottom"/>
            <w:tcBorders>
              <w:right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920" w:type="dxa"/>
            <w:vAlign w:val="bottom"/>
            <w:tcBorders>
              <w:bottom w:val="single" w:sz="8" w:color="auto"/>
              <w:right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6"/>
        </w:trPr>
        <w:tc>
          <w:tcPr>
            <w:tcW w:w="880" w:type="dxa"/>
            <w:vAlign w:val="bottom"/>
            <w:tcBorders>
              <w:right w:val="single" w:sz="8" w:color="auto"/>
            </w:tcBorders>
          </w:tcPr>
          <w:p>
            <w:pPr>
              <w:spacing w:after="0"/>
              <w:rPr>
                <w:sz w:val="24"/>
                <w:szCs w:val="24"/>
                <w:color w:val="auto"/>
              </w:rPr>
            </w:pPr>
          </w:p>
        </w:tc>
        <w:tc>
          <w:tcPr>
            <w:tcW w:w="65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Chair of Audit Committee</w:t>
            </w:r>
          </w:p>
        </w:tc>
        <w:tc>
          <w:tcPr>
            <w:tcW w:w="1860" w:type="dxa"/>
            <w:vAlign w:val="bottom"/>
            <w:gridSpan w:val="2"/>
          </w:tcPr>
          <w:p>
            <w:pPr>
              <w:jc w:val="center"/>
              <w:ind w:left="972"/>
              <w:spacing w:after="0"/>
              <w:rPr>
                <w:sz w:val="20"/>
                <w:szCs w:val="20"/>
                <w:color w:val="auto"/>
              </w:rPr>
            </w:pPr>
            <w:r>
              <w:rPr>
                <w:rFonts w:ascii="Times New Roman" w:cs="Times New Roman" w:eastAsia="Times New Roman" w:hAnsi="Times New Roman"/>
                <w:sz w:val="22"/>
                <w:szCs w:val="22"/>
                <w:color w:val="auto"/>
                <w:w w:val="97"/>
              </w:rPr>
              <w:t>$15,000</w:t>
            </w:r>
          </w:p>
        </w:tc>
        <w:tc>
          <w:tcPr>
            <w:tcW w:w="112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880" w:type="dxa"/>
            <w:vAlign w:val="bottom"/>
            <w:tcBorders>
              <w:right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920" w:type="dxa"/>
            <w:vAlign w:val="bottom"/>
            <w:tcBorders>
              <w:bottom w:val="single" w:sz="8" w:color="auto"/>
              <w:right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6"/>
        </w:trPr>
        <w:tc>
          <w:tcPr>
            <w:tcW w:w="880" w:type="dxa"/>
            <w:vAlign w:val="bottom"/>
            <w:tcBorders>
              <w:right w:val="single" w:sz="8" w:color="auto"/>
            </w:tcBorders>
          </w:tcPr>
          <w:p>
            <w:pPr>
              <w:spacing w:after="0"/>
              <w:rPr>
                <w:sz w:val="24"/>
                <w:szCs w:val="24"/>
                <w:color w:val="auto"/>
              </w:rPr>
            </w:pPr>
          </w:p>
        </w:tc>
        <w:tc>
          <w:tcPr>
            <w:tcW w:w="65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Chair of Compensation Committee</w:t>
            </w:r>
          </w:p>
        </w:tc>
        <w:tc>
          <w:tcPr>
            <w:tcW w:w="1860" w:type="dxa"/>
            <w:vAlign w:val="bottom"/>
            <w:gridSpan w:val="2"/>
          </w:tcPr>
          <w:p>
            <w:pPr>
              <w:jc w:val="center"/>
              <w:ind w:left="972"/>
              <w:spacing w:after="0"/>
              <w:rPr>
                <w:sz w:val="20"/>
                <w:szCs w:val="20"/>
                <w:color w:val="auto"/>
              </w:rPr>
            </w:pPr>
            <w:r>
              <w:rPr>
                <w:rFonts w:ascii="Times New Roman" w:cs="Times New Roman" w:eastAsia="Times New Roman" w:hAnsi="Times New Roman"/>
                <w:sz w:val="22"/>
                <w:szCs w:val="22"/>
                <w:color w:val="auto"/>
                <w:w w:val="97"/>
              </w:rPr>
              <w:t>$12,250</w:t>
            </w:r>
          </w:p>
        </w:tc>
        <w:tc>
          <w:tcPr>
            <w:tcW w:w="112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880" w:type="dxa"/>
            <w:vAlign w:val="bottom"/>
            <w:tcBorders>
              <w:right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920" w:type="dxa"/>
            <w:vAlign w:val="bottom"/>
            <w:tcBorders>
              <w:bottom w:val="single" w:sz="8" w:color="auto"/>
              <w:right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6"/>
        </w:trPr>
        <w:tc>
          <w:tcPr>
            <w:tcW w:w="880" w:type="dxa"/>
            <w:vAlign w:val="bottom"/>
            <w:tcBorders>
              <w:right w:val="single" w:sz="8" w:color="auto"/>
            </w:tcBorders>
          </w:tcPr>
          <w:p>
            <w:pPr>
              <w:spacing w:after="0"/>
              <w:rPr>
                <w:sz w:val="24"/>
                <w:szCs w:val="24"/>
                <w:color w:val="auto"/>
              </w:rPr>
            </w:pPr>
          </w:p>
        </w:tc>
        <w:tc>
          <w:tcPr>
            <w:tcW w:w="65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Chair of Science &amp; Technology Committee</w:t>
            </w:r>
          </w:p>
        </w:tc>
        <w:tc>
          <w:tcPr>
            <w:tcW w:w="1860" w:type="dxa"/>
            <w:vAlign w:val="bottom"/>
            <w:gridSpan w:val="2"/>
          </w:tcPr>
          <w:p>
            <w:pPr>
              <w:jc w:val="center"/>
              <w:ind w:left="972"/>
              <w:spacing w:after="0"/>
              <w:rPr>
                <w:sz w:val="20"/>
                <w:szCs w:val="20"/>
                <w:color w:val="auto"/>
              </w:rPr>
            </w:pPr>
            <w:r>
              <w:rPr>
                <w:rFonts w:ascii="Times New Roman" w:cs="Times New Roman" w:eastAsia="Times New Roman" w:hAnsi="Times New Roman"/>
                <w:sz w:val="22"/>
                <w:szCs w:val="22"/>
                <w:color w:val="auto"/>
                <w:w w:val="97"/>
              </w:rPr>
              <w:t>$12,250</w:t>
            </w:r>
          </w:p>
        </w:tc>
        <w:tc>
          <w:tcPr>
            <w:tcW w:w="112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880" w:type="dxa"/>
            <w:vAlign w:val="bottom"/>
            <w:tcBorders>
              <w:right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920" w:type="dxa"/>
            <w:vAlign w:val="bottom"/>
            <w:tcBorders>
              <w:bottom w:val="single" w:sz="8" w:color="auto"/>
              <w:right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6"/>
        </w:trPr>
        <w:tc>
          <w:tcPr>
            <w:tcW w:w="880" w:type="dxa"/>
            <w:vAlign w:val="bottom"/>
            <w:tcBorders>
              <w:right w:val="single" w:sz="8" w:color="auto"/>
            </w:tcBorders>
          </w:tcPr>
          <w:p>
            <w:pPr>
              <w:spacing w:after="0"/>
              <w:rPr>
                <w:sz w:val="24"/>
                <w:szCs w:val="24"/>
                <w:color w:val="auto"/>
              </w:rPr>
            </w:pPr>
          </w:p>
        </w:tc>
        <w:tc>
          <w:tcPr>
            <w:tcW w:w="65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Chair of Nominating and Corporate Governance Committee</w:t>
            </w:r>
          </w:p>
        </w:tc>
        <w:tc>
          <w:tcPr>
            <w:tcW w:w="1860" w:type="dxa"/>
            <w:vAlign w:val="bottom"/>
            <w:gridSpan w:val="2"/>
          </w:tcPr>
          <w:p>
            <w:pPr>
              <w:jc w:val="center"/>
              <w:ind w:left="992"/>
              <w:spacing w:after="0"/>
              <w:rPr>
                <w:sz w:val="20"/>
                <w:szCs w:val="20"/>
                <w:color w:val="auto"/>
              </w:rPr>
            </w:pPr>
            <w:r>
              <w:rPr>
                <w:rFonts w:ascii="Times New Roman" w:cs="Times New Roman" w:eastAsia="Times New Roman" w:hAnsi="Times New Roman"/>
                <w:sz w:val="22"/>
                <w:szCs w:val="22"/>
                <w:color w:val="auto"/>
                <w:w w:val="99"/>
              </w:rPr>
              <w:t>$8,250</w:t>
            </w:r>
          </w:p>
        </w:tc>
        <w:tc>
          <w:tcPr>
            <w:tcW w:w="112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880" w:type="dxa"/>
            <w:vAlign w:val="bottom"/>
            <w:tcBorders>
              <w:right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920" w:type="dxa"/>
            <w:vAlign w:val="bottom"/>
            <w:tcBorders>
              <w:bottom w:val="single" w:sz="8" w:color="auto"/>
              <w:right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6"/>
        </w:trPr>
        <w:tc>
          <w:tcPr>
            <w:tcW w:w="880" w:type="dxa"/>
            <w:vAlign w:val="bottom"/>
            <w:tcBorders>
              <w:right w:val="single" w:sz="8" w:color="auto"/>
            </w:tcBorders>
          </w:tcPr>
          <w:p>
            <w:pPr>
              <w:spacing w:after="0"/>
              <w:rPr>
                <w:sz w:val="24"/>
                <w:szCs w:val="24"/>
                <w:color w:val="auto"/>
              </w:rPr>
            </w:pPr>
          </w:p>
        </w:tc>
        <w:tc>
          <w:tcPr>
            <w:tcW w:w="65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Member of Audit Committee (non-Chair)</w:t>
            </w:r>
          </w:p>
        </w:tc>
        <w:tc>
          <w:tcPr>
            <w:tcW w:w="1860" w:type="dxa"/>
            <w:vAlign w:val="bottom"/>
            <w:gridSpan w:val="2"/>
          </w:tcPr>
          <w:p>
            <w:pPr>
              <w:jc w:val="center"/>
              <w:ind w:left="992"/>
              <w:spacing w:after="0"/>
              <w:rPr>
                <w:sz w:val="20"/>
                <w:szCs w:val="20"/>
                <w:color w:val="auto"/>
              </w:rPr>
            </w:pPr>
            <w:r>
              <w:rPr>
                <w:rFonts w:ascii="Times New Roman" w:cs="Times New Roman" w:eastAsia="Times New Roman" w:hAnsi="Times New Roman"/>
                <w:sz w:val="22"/>
                <w:szCs w:val="22"/>
                <w:color w:val="auto"/>
                <w:w w:val="99"/>
              </w:rPr>
              <w:t>$7,500</w:t>
            </w:r>
          </w:p>
        </w:tc>
        <w:tc>
          <w:tcPr>
            <w:tcW w:w="112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880" w:type="dxa"/>
            <w:vAlign w:val="bottom"/>
            <w:tcBorders>
              <w:right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920" w:type="dxa"/>
            <w:vAlign w:val="bottom"/>
            <w:tcBorders>
              <w:bottom w:val="single" w:sz="8" w:color="auto"/>
              <w:right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6"/>
        </w:trPr>
        <w:tc>
          <w:tcPr>
            <w:tcW w:w="880" w:type="dxa"/>
            <w:vAlign w:val="bottom"/>
            <w:tcBorders>
              <w:right w:val="single" w:sz="8" w:color="auto"/>
            </w:tcBorders>
          </w:tcPr>
          <w:p>
            <w:pPr>
              <w:spacing w:after="0"/>
              <w:rPr>
                <w:sz w:val="24"/>
                <w:szCs w:val="24"/>
                <w:color w:val="auto"/>
              </w:rPr>
            </w:pPr>
          </w:p>
        </w:tc>
        <w:tc>
          <w:tcPr>
            <w:tcW w:w="65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Member of Compensation Committee (non-Chair)</w:t>
            </w:r>
          </w:p>
        </w:tc>
        <w:tc>
          <w:tcPr>
            <w:tcW w:w="1860" w:type="dxa"/>
            <w:vAlign w:val="bottom"/>
            <w:gridSpan w:val="2"/>
          </w:tcPr>
          <w:p>
            <w:pPr>
              <w:jc w:val="center"/>
              <w:ind w:left="992"/>
              <w:spacing w:after="0"/>
              <w:rPr>
                <w:sz w:val="20"/>
                <w:szCs w:val="20"/>
                <w:color w:val="auto"/>
              </w:rPr>
            </w:pPr>
            <w:r>
              <w:rPr>
                <w:rFonts w:ascii="Times New Roman" w:cs="Times New Roman" w:eastAsia="Times New Roman" w:hAnsi="Times New Roman"/>
                <w:sz w:val="22"/>
                <w:szCs w:val="22"/>
                <w:color w:val="auto"/>
                <w:w w:val="99"/>
              </w:rPr>
              <w:t>$6,000</w:t>
            </w:r>
          </w:p>
        </w:tc>
        <w:tc>
          <w:tcPr>
            <w:tcW w:w="112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880" w:type="dxa"/>
            <w:vAlign w:val="bottom"/>
            <w:tcBorders>
              <w:right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920" w:type="dxa"/>
            <w:vAlign w:val="bottom"/>
            <w:tcBorders>
              <w:bottom w:val="single" w:sz="8" w:color="auto"/>
              <w:right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6"/>
        </w:trPr>
        <w:tc>
          <w:tcPr>
            <w:tcW w:w="880" w:type="dxa"/>
            <w:vAlign w:val="bottom"/>
            <w:tcBorders>
              <w:right w:val="single" w:sz="8" w:color="auto"/>
            </w:tcBorders>
          </w:tcPr>
          <w:p>
            <w:pPr>
              <w:spacing w:after="0"/>
              <w:rPr>
                <w:sz w:val="24"/>
                <w:szCs w:val="24"/>
                <w:color w:val="auto"/>
              </w:rPr>
            </w:pPr>
          </w:p>
        </w:tc>
        <w:tc>
          <w:tcPr>
            <w:tcW w:w="65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Member of Science &amp; Technology Committee (non-Chair)</w:t>
            </w:r>
          </w:p>
        </w:tc>
        <w:tc>
          <w:tcPr>
            <w:tcW w:w="1860" w:type="dxa"/>
            <w:vAlign w:val="bottom"/>
            <w:gridSpan w:val="2"/>
          </w:tcPr>
          <w:p>
            <w:pPr>
              <w:jc w:val="center"/>
              <w:ind w:left="992"/>
              <w:spacing w:after="0"/>
              <w:rPr>
                <w:sz w:val="20"/>
                <w:szCs w:val="20"/>
                <w:color w:val="auto"/>
              </w:rPr>
            </w:pPr>
            <w:r>
              <w:rPr>
                <w:rFonts w:ascii="Times New Roman" w:cs="Times New Roman" w:eastAsia="Times New Roman" w:hAnsi="Times New Roman"/>
                <w:sz w:val="22"/>
                <w:szCs w:val="22"/>
                <w:color w:val="auto"/>
                <w:w w:val="99"/>
              </w:rPr>
              <w:t>$6,000</w:t>
            </w:r>
          </w:p>
        </w:tc>
        <w:tc>
          <w:tcPr>
            <w:tcW w:w="112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880" w:type="dxa"/>
            <w:vAlign w:val="bottom"/>
            <w:tcBorders>
              <w:right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920" w:type="dxa"/>
            <w:vAlign w:val="bottom"/>
            <w:tcBorders>
              <w:bottom w:val="single" w:sz="8" w:color="auto"/>
              <w:right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880" w:type="dxa"/>
            <w:vAlign w:val="bottom"/>
            <w:tcBorders>
              <w:right w:val="single" w:sz="8" w:color="auto"/>
            </w:tcBorders>
          </w:tcPr>
          <w:p>
            <w:pPr>
              <w:spacing w:after="0"/>
              <w:rPr>
                <w:sz w:val="18"/>
                <w:szCs w:val="18"/>
                <w:color w:val="auto"/>
              </w:rPr>
            </w:pPr>
          </w:p>
        </w:tc>
        <w:tc>
          <w:tcPr>
            <w:tcW w:w="6540" w:type="dxa"/>
            <w:vAlign w:val="bottom"/>
            <w:tcBorders>
              <w:right w:val="single" w:sz="8" w:color="auto"/>
            </w:tcBorders>
            <w:gridSpan w:val="3"/>
          </w:tcPr>
          <w:p>
            <w:pPr>
              <w:ind w:left="100"/>
              <w:spacing w:after="0" w:line="209" w:lineRule="exact"/>
              <w:rPr>
                <w:sz w:val="20"/>
                <w:szCs w:val="20"/>
                <w:color w:val="auto"/>
              </w:rPr>
            </w:pPr>
            <w:r>
              <w:rPr>
                <w:rFonts w:ascii="Times New Roman" w:cs="Times New Roman" w:eastAsia="Times New Roman" w:hAnsi="Times New Roman"/>
                <w:sz w:val="22"/>
                <w:szCs w:val="22"/>
                <w:color w:val="auto"/>
              </w:rPr>
              <w:t>Member of Nominating and Corporate Governance Committee (non-</w:t>
            </w:r>
          </w:p>
        </w:tc>
        <w:tc>
          <w:tcPr>
            <w:tcW w:w="1860" w:type="dxa"/>
            <w:vAlign w:val="bottom"/>
            <w:gridSpan w:val="2"/>
            <w:vMerge w:val="restart"/>
          </w:tcPr>
          <w:p>
            <w:pPr>
              <w:jc w:val="center"/>
              <w:ind w:left="992"/>
              <w:spacing w:after="0"/>
              <w:rPr>
                <w:sz w:val="20"/>
                <w:szCs w:val="20"/>
                <w:color w:val="auto"/>
              </w:rPr>
            </w:pPr>
            <w:r>
              <w:rPr>
                <w:rFonts w:ascii="Times New Roman" w:cs="Times New Roman" w:eastAsia="Times New Roman" w:hAnsi="Times New Roman"/>
                <w:sz w:val="22"/>
                <w:szCs w:val="22"/>
                <w:color w:val="auto"/>
                <w:w w:val="99"/>
              </w:rPr>
              <w:t>$4,500</w:t>
            </w:r>
          </w:p>
        </w:tc>
        <w:tc>
          <w:tcPr>
            <w:tcW w:w="112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880" w:type="dxa"/>
            <w:vAlign w:val="bottom"/>
            <w:tcBorders>
              <w:right w:val="single" w:sz="8" w:color="auto"/>
            </w:tcBorders>
          </w:tcPr>
          <w:p>
            <w:pPr>
              <w:spacing w:after="0"/>
              <w:rPr>
                <w:sz w:val="24"/>
                <w:szCs w:val="24"/>
                <w:color w:val="auto"/>
              </w:rPr>
            </w:pPr>
          </w:p>
        </w:tc>
        <w:tc>
          <w:tcPr>
            <w:tcW w:w="65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Chair)</w:t>
            </w:r>
          </w:p>
        </w:tc>
        <w:tc>
          <w:tcPr>
            <w:tcW w:w="1860" w:type="dxa"/>
            <w:vAlign w:val="bottom"/>
            <w:gridSpan w:val="2"/>
            <w:vMerge w:val="continue"/>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880" w:type="dxa"/>
            <w:vAlign w:val="bottom"/>
            <w:tcBorders>
              <w:right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920" w:type="dxa"/>
            <w:vAlign w:val="bottom"/>
            <w:tcBorders>
              <w:bottom w:val="single" w:sz="8" w:color="auto"/>
              <w:right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7"/>
        </w:trPr>
        <w:tc>
          <w:tcPr>
            <w:tcW w:w="88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8" w:right="319" w:bottom="1440" w:gutter="0" w:footer="0" w:header="0"/>
        </w:sectPr>
      </w:pPr>
    </w:p>
    <w:bookmarkStart w:id="92" w:name="page93"/>
    <w:bookmarkEnd w:id="92"/>
    <w:p>
      <w:pPr>
        <w:jc w:val="both"/>
        <w:spacing w:after="0" w:line="236" w:lineRule="auto"/>
        <w:rPr>
          <w:sz w:val="20"/>
          <w:szCs w:val="20"/>
          <w:color w:val="auto"/>
        </w:rPr>
      </w:pPr>
      <w:r>
        <w:rPr>
          <w:rFonts w:ascii="Times New Roman" w:cs="Times New Roman" w:eastAsia="Times New Roman" w:hAnsi="Times New Roman"/>
          <w:sz w:val="22"/>
          <w:szCs w:val="22"/>
          <w:color w:val="auto"/>
        </w:rPr>
        <w:t>For the avoidance of doubt, the Annual Retainers in the table above are additive and a Non-Employee Director shall be eligible to earn an Annual Retainer for each position in which he or she serves. The Annual Retainers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 for an entire calendar quarter, the retainer paid to such Non-Employee Director shall be prorated for the portion of such calendar quarter actually served as a Non-Employee Director, or in such position, as applicable.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20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Each Non-Employee Director shall be granted options to purchase the Company’s common stock (each, an “</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color w:val="auto"/>
        </w:rPr>
        <w:t>”) having an aggregate Grant Date Fair Value (as defined below) as set forth in the following table, with any partial shares that result being rounded down to the nearest whole share. Each Option shall be granted under and subject to the terms and provisions of the Company’s 2019 Incentive Award Plan or any other applicable Company equity incentive plan then-maintained by the Company (the “</w:t>
      </w:r>
      <w:r>
        <w:rPr>
          <w:rFonts w:ascii="Times New Roman" w:cs="Times New Roman" w:eastAsia="Times New Roman" w:hAnsi="Times New Roman"/>
          <w:sz w:val="22"/>
          <w:szCs w:val="22"/>
          <w:b w:val="1"/>
          <w:bCs w:val="1"/>
          <w:i w:val="1"/>
          <w:iCs w:val="1"/>
          <w:color w:val="auto"/>
        </w:rPr>
        <w:t>Equity Plan</w:t>
      </w:r>
      <w:r>
        <w:rPr>
          <w:rFonts w:ascii="Times New Roman" w:cs="Times New Roman" w:eastAsia="Times New Roman" w:hAnsi="Times New Roman"/>
          <w:sz w:val="22"/>
          <w:szCs w:val="22"/>
          <w:color w:val="auto"/>
        </w:rPr>
        <w:t>”) and shall be subject to an award agreement, including attached exhibits, in substantially the form previously approved by the Board. “</w:t>
      </w:r>
      <w:r>
        <w:rPr>
          <w:rFonts w:ascii="Times New Roman" w:cs="Times New Roman" w:eastAsia="Times New Roman" w:hAnsi="Times New Roman"/>
          <w:sz w:val="22"/>
          <w:szCs w:val="22"/>
          <w:b w:val="1"/>
          <w:bCs w:val="1"/>
          <w:i w:val="1"/>
          <w:iCs w:val="1"/>
          <w:color w:val="auto"/>
        </w:rPr>
        <w:t>Grant Date Fair Value</w:t>
      </w:r>
      <w:r>
        <w:rPr>
          <w:rFonts w:ascii="Times New Roman" w:cs="Times New Roman" w:eastAsia="Times New Roman" w:hAnsi="Times New Roman"/>
          <w:sz w:val="22"/>
          <w:szCs w:val="22"/>
          <w:color w:val="auto"/>
        </w:rPr>
        <w:t>” shall mean, with respect to an Option, the per share fair value of the Option determined as of the Option’s date of grant using the Black-Scholes option pricing model that the Company most recently used in preparing its (audited or unaudited) consolidated financial statements that have been filed with the Securities Exchange Commission (“</w:t>
      </w:r>
      <w:r>
        <w:rPr>
          <w:rFonts w:ascii="Times New Roman" w:cs="Times New Roman" w:eastAsia="Times New Roman" w:hAnsi="Times New Roman"/>
          <w:sz w:val="22"/>
          <w:szCs w:val="22"/>
          <w:b w:val="1"/>
          <w:bCs w:val="1"/>
          <w:i w:val="1"/>
          <w:iCs w:val="1"/>
          <w:color w:val="auto"/>
        </w:rPr>
        <w:t>Financial Statements</w:t>
      </w:r>
      <w:r>
        <w:rPr>
          <w:rFonts w:ascii="Times New Roman" w:cs="Times New Roman" w:eastAsia="Times New Roman" w:hAnsi="Times New Roman"/>
          <w:sz w:val="22"/>
          <w:szCs w:val="22"/>
          <w:color w:val="auto"/>
        </w:rPr>
        <w:t>”) and using as inputs into such model (i) the Fair Market Value of a share of the Company’s common stock on the Option’s date of grant and (ii) such other assumptions as were reported by the Company in the Financial Statements for the most recent period covered by the Financial Statements (and if any such assumptions were reported as a range of values, using the arithmetic mean of the reported values).</w:t>
      </w:r>
    </w:p>
    <w:p>
      <w:pPr>
        <w:spacing w:after="0" w:line="213" w:lineRule="exact"/>
        <w:rPr>
          <w:sz w:val="20"/>
          <w:szCs w:val="20"/>
          <w:color w:val="auto"/>
        </w:rPr>
      </w:pPr>
    </w:p>
    <w:tbl>
      <w:tblPr>
        <w:tblLayout w:type="fixed"/>
        <w:tblInd w:w="1230" w:type="dxa"/>
        <w:tblCellMar>
          <w:top w:w="0" w:type="dxa"/>
          <w:left w:w="0" w:type="dxa"/>
          <w:bottom w:w="0" w:type="dxa"/>
          <w:right w:w="0" w:type="dxa"/>
        </w:tblCellMar>
      </w:tblPr>
      <w:tr>
        <w:trPr>
          <w:trHeight w:val="377"/>
        </w:trPr>
        <w:tc>
          <w:tcPr>
            <w:tcW w:w="4540" w:type="dxa"/>
            <w:vAlign w:val="bottom"/>
            <w:tcBorders>
              <w:top w:val="single" w:sz="8" w:color="auto"/>
              <w:left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22"/>
                <w:szCs w:val="22"/>
                <w:b w:val="1"/>
                <w:bCs w:val="1"/>
                <w:color w:val="auto"/>
              </w:rPr>
              <w:t>Option</w:t>
            </w:r>
          </w:p>
        </w:tc>
        <w:tc>
          <w:tcPr>
            <w:tcW w:w="4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Grant Date Fair Value</w:t>
            </w:r>
          </w:p>
        </w:tc>
      </w:tr>
      <w:tr>
        <w:trPr>
          <w:trHeight w:val="96"/>
        </w:trPr>
        <w:tc>
          <w:tcPr>
            <w:tcW w:w="4540" w:type="dxa"/>
            <w:vAlign w:val="bottom"/>
            <w:tcBorders>
              <w:left w:val="single" w:sz="8" w:color="auto"/>
              <w:bottom w:val="single" w:sz="8" w:color="auto"/>
              <w:right w:val="single" w:sz="8" w:color="auto"/>
            </w:tcBorders>
          </w:tcPr>
          <w:p>
            <w:pPr>
              <w:spacing w:after="0"/>
              <w:rPr>
                <w:sz w:val="8"/>
                <w:szCs w:val="8"/>
                <w:color w:val="auto"/>
              </w:rPr>
            </w:pPr>
          </w:p>
        </w:tc>
        <w:tc>
          <w:tcPr>
            <w:tcW w:w="4100" w:type="dxa"/>
            <w:vAlign w:val="bottom"/>
            <w:tcBorders>
              <w:bottom w:val="single" w:sz="8" w:color="auto"/>
              <w:right w:val="single" w:sz="8" w:color="auto"/>
            </w:tcBorders>
          </w:tcPr>
          <w:p>
            <w:pPr>
              <w:spacing w:after="0"/>
              <w:rPr>
                <w:sz w:val="8"/>
                <w:szCs w:val="8"/>
                <w:color w:val="auto"/>
              </w:rPr>
            </w:pPr>
          </w:p>
        </w:tc>
      </w:tr>
      <w:tr>
        <w:trPr>
          <w:trHeight w:val="356"/>
        </w:trPr>
        <w:tc>
          <w:tcPr>
            <w:tcW w:w="4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Initial Option</w:t>
            </w:r>
          </w:p>
        </w:tc>
        <w:tc>
          <w:tcPr>
            <w:tcW w:w="4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$400,000</w:t>
            </w:r>
          </w:p>
        </w:tc>
      </w:tr>
      <w:tr>
        <w:trPr>
          <w:trHeight w:val="96"/>
        </w:trPr>
        <w:tc>
          <w:tcPr>
            <w:tcW w:w="4540" w:type="dxa"/>
            <w:vAlign w:val="bottom"/>
            <w:tcBorders>
              <w:left w:val="single" w:sz="8" w:color="auto"/>
              <w:bottom w:val="single" w:sz="8" w:color="auto"/>
              <w:right w:val="single" w:sz="8" w:color="auto"/>
            </w:tcBorders>
          </w:tcPr>
          <w:p>
            <w:pPr>
              <w:spacing w:after="0"/>
              <w:rPr>
                <w:sz w:val="8"/>
                <w:szCs w:val="8"/>
                <w:color w:val="auto"/>
              </w:rPr>
            </w:pPr>
          </w:p>
        </w:tc>
        <w:tc>
          <w:tcPr>
            <w:tcW w:w="4100" w:type="dxa"/>
            <w:vAlign w:val="bottom"/>
            <w:tcBorders>
              <w:bottom w:val="single" w:sz="8" w:color="auto"/>
              <w:right w:val="single" w:sz="8" w:color="auto"/>
            </w:tcBorders>
          </w:tcPr>
          <w:p>
            <w:pPr>
              <w:spacing w:after="0"/>
              <w:rPr>
                <w:sz w:val="8"/>
                <w:szCs w:val="8"/>
                <w:color w:val="auto"/>
              </w:rPr>
            </w:pPr>
          </w:p>
        </w:tc>
      </w:tr>
      <w:tr>
        <w:trPr>
          <w:trHeight w:val="356"/>
        </w:trPr>
        <w:tc>
          <w:tcPr>
            <w:tcW w:w="45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Subsequent Option</w:t>
            </w:r>
          </w:p>
        </w:tc>
        <w:tc>
          <w:tcPr>
            <w:tcW w:w="4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$200,000</w:t>
            </w:r>
          </w:p>
        </w:tc>
      </w:tr>
      <w:tr>
        <w:trPr>
          <w:trHeight w:val="96"/>
        </w:trPr>
        <w:tc>
          <w:tcPr>
            <w:tcW w:w="4540" w:type="dxa"/>
            <w:vAlign w:val="bottom"/>
            <w:tcBorders>
              <w:left w:val="single" w:sz="8" w:color="auto"/>
              <w:bottom w:val="single" w:sz="8" w:color="auto"/>
              <w:right w:val="single" w:sz="8" w:color="auto"/>
            </w:tcBorders>
          </w:tcPr>
          <w:p>
            <w:pPr>
              <w:spacing w:after="0"/>
              <w:rPr>
                <w:sz w:val="8"/>
                <w:szCs w:val="8"/>
                <w:color w:val="auto"/>
              </w:rPr>
            </w:pPr>
          </w:p>
        </w:tc>
        <w:tc>
          <w:tcPr>
            <w:tcW w:w="4100" w:type="dxa"/>
            <w:vAlign w:val="bottom"/>
            <w:tcBorders>
              <w:bottom w:val="single" w:sz="8" w:color="auto"/>
              <w:right w:val="single" w:sz="8" w:color="auto"/>
            </w:tcBorders>
          </w:tcPr>
          <w:p>
            <w:pPr>
              <w:spacing w:after="0"/>
              <w:rPr>
                <w:sz w:val="8"/>
                <w:szCs w:val="8"/>
                <w:color w:val="auto"/>
              </w:rPr>
            </w:pPr>
          </w:p>
        </w:tc>
      </w:tr>
    </w:tbl>
    <w:p>
      <w:pPr>
        <w:spacing w:after="0" w:line="216" w:lineRule="exact"/>
        <w:rPr>
          <w:sz w:val="20"/>
          <w:szCs w:val="20"/>
          <w:color w:val="auto"/>
        </w:rPr>
      </w:pPr>
    </w:p>
    <w:p>
      <w:pPr>
        <w:jc w:val="both"/>
        <w:ind w:firstLine="1735"/>
        <w:spacing w:after="0" w:line="244" w:lineRule="auto"/>
        <w:tabs>
          <w:tab w:leader="none" w:pos="258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Options</w:t>
      </w:r>
      <w:r>
        <w:rPr>
          <w:rFonts w:ascii="Times New Roman" w:cs="Times New Roman" w:eastAsia="Times New Roman" w:hAnsi="Times New Roman"/>
          <w:sz w:val="22"/>
          <w:szCs w:val="22"/>
          <w:color w:val="auto"/>
        </w:rPr>
        <w:t>. Each Non-Employee Director who is initially elected or appointed to the Board shall receive the Initial Option on the date of such initial election or appointment. No Non-Employee Director shall be granted more than one Initial Option.</w:t>
      </w:r>
    </w:p>
    <w:p>
      <w:pPr>
        <w:spacing w:after="0" w:line="173" w:lineRule="exact"/>
        <w:rPr>
          <w:rFonts w:ascii="Times New Roman" w:cs="Times New Roman" w:eastAsia="Times New Roman" w:hAnsi="Times New Roman"/>
          <w:sz w:val="22"/>
          <w:szCs w:val="22"/>
          <w:color w:val="auto"/>
        </w:rPr>
      </w:pPr>
    </w:p>
    <w:p>
      <w:pPr>
        <w:jc w:val="both"/>
        <w:ind w:firstLine="1735"/>
        <w:spacing w:after="0" w:line="236" w:lineRule="auto"/>
        <w:tabs>
          <w:tab w:leader="none" w:pos="257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Subsequent Options</w:t>
      </w:r>
      <w:r>
        <w:rPr>
          <w:rFonts w:ascii="Times New Roman" w:cs="Times New Roman" w:eastAsia="Times New Roman" w:hAnsi="Times New Roman"/>
          <w:sz w:val="22"/>
          <w:szCs w:val="22"/>
          <w:color w:val="auto"/>
        </w:rPr>
        <w:t>. A Non-Employee Director who (i) has been serving as a Non-Employee Director on the Board for at least six months as of the date of any annual meeting of the Company’s stockholders and (ii) will continue to serve as a Non-Employee Director immediately following such meeting, shall be automatically granted a Subsequent Option on the date of such annual meeting. For the avoidance of doubt, a Non-Employee Director elected for the first time to the Board at an annual meeting of the Company’s stockholders shall only receive an Initial Award in connection with such election, and shall not receive any Subsequent Award on the date of such meeting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3" w:name="page94"/>
    <w:bookmarkEnd w:id="93"/>
    <w:p>
      <w:pPr>
        <w:jc w:val="both"/>
        <w:ind w:firstLine="1735"/>
        <w:spacing w:after="0" w:line="238" w:lineRule="auto"/>
        <w:tabs>
          <w:tab w:leader="none" w:pos="257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of Employee Directors</w:t>
      </w:r>
      <w:r>
        <w:rPr>
          <w:rFonts w:ascii="Times New Roman" w:cs="Times New Roman" w:eastAsia="Times New Roman" w:hAnsi="Times New Roman"/>
          <w:sz w:val="22"/>
          <w:szCs w:val="22"/>
          <w:color w:val="auto"/>
        </w:rPr>
        <w:t>. Members of the Board who are employees of the Company or any parent or subsidiary of the Company who subsequently terminate their employment with the Company and any parent or subsidiary of the Company and remain on the Board will not receive an Initial Option, but to the extent that they are otherwise entitled, will receive, after termination of employment with the Company and any parent or subsidiary of the Company, Subsequent Options.</w:t>
      </w:r>
    </w:p>
    <w:p>
      <w:pPr>
        <w:spacing w:after="0" w:line="176" w:lineRule="exact"/>
        <w:rPr>
          <w:rFonts w:ascii="Times New Roman" w:cs="Times New Roman" w:eastAsia="Times New Roman" w:hAnsi="Times New Roman"/>
          <w:sz w:val="22"/>
          <w:szCs w:val="22"/>
          <w:color w:val="auto"/>
        </w:rPr>
      </w:pPr>
    </w:p>
    <w:p>
      <w:pPr>
        <w:ind w:left="2600" w:hanging="865"/>
        <w:spacing w:after="0"/>
        <w:tabs>
          <w:tab w:leader="none" w:pos="26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of Options Granted to Non-Employee Directors.</w:t>
      </w:r>
    </w:p>
    <w:p>
      <w:pPr>
        <w:spacing w:after="0" w:line="202" w:lineRule="exact"/>
        <w:rPr>
          <w:rFonts w:ascii="Times New Roman" w:cs="Times New Roman" w:eastAsia="Times New Roman" w:hAnsi="Times New Roman"/>
          <w:sz w:val="22"/>
          <w:szCs w:val="22"/>
          <w:color w:val="auto"/>
        </w:rPr>
      </w:pPr>
    </w:p>
    <w:p>
      <w:pPr>
        <w:jc w:val="both"/>
        <w:ind w:firstLine="2600"/>
        <w:spacing w:after="0" w:line="246" w:lineRule="auto"/>
        <w:tabs>
          <w:tab w:leader="none" w:pos="351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Exercise Price</w:t>
      </w:r>
      <w:r>
        <w:rPr>
          <w:rFonts w:ascii="Times New Roman" w:cs="Times New Roman" w:eastAsia="Times New Roman" w:hAnsi="Times New Roman"/>
          <w:sz w:val="22"/>
          <w:szCs w:val="22"/>
          <w:color w:val="auto"/>
        </w:rPr>
        <w:t>. The per-share exercise price of each Option granted to a Non-Employee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Director shall equal the Fair Market Value (as defined in the Equity Plan) of a share of the Company’s common stock on the date the Option is granted.</w:t>
      </w:r>
    </w:p>
    <w:p>
      <w:pPr>
        <w:spacing w:after="0" w:line="167" w:lineRule="exact"/>
        <w:rPr>
          <w:rFonts w:ascii="Times New Roman" w:cs="Times New Roman" w:eastAsia="Times New Roman" w:hAnsi="Times New Roman"/>
          <w:sz w:val="22"/>
          <w:szCs w:val="22"/>
          <w:color w:val="auto"/>
        </w:rPr>
      </w:pPr>
    </w:p>
    <w:p>
      <w:pPr>
        <w:ind w:left="3420" w:hanging="820"/>
        <w:spacing w:after="0"/>
        <w:tabs>
          <w:tab w:leader="none" w:pos="342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Vesting</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3367"/>
        <w:spacing w:after="0" w:line="241" w:lineRule="auto"/>
        <w:tabs>
          <w:tab w:leader="none" w:pos="4169" w:val="left"/>
        </w:tabs>
        <w:numPr>
          <w:ilvl w:val="2"/>
          <w:numId w:val="4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Initial Options</w:t>
      </w:r>
      <w:r>
        <w:rPr>
          <w:rFonts w:ascii="Times New Roman" w:cs="Times New Roman" w:eastAsia="Times New Roman" w:hAnsi="Times New Roman"/>
          <w:sz w:val="22"/>
          <w:szCs w:val="22"/>
          <w:color w:val="auto"/>
        </w:rPr>
        <w:t>. Each Initial Option shall vest and become exercisable in thirty-six (36) substantially equal monthly installments following the date of grant, such that the Initial Option shall be fully vested on the third anniversary of the date of grant, subject to the Non-Employee Director continuing in service as a Non-Employee Director through each such vesting date.</w:t>
      </w:r>
    </w:p>
    <w:p>
      <w:pPr>
        <w:spacing w:after="0" w:line="171" w:lineRule="exact"/>
        <w:rPr>
          <w:rFonts w:ascii="Times New Roman" w:cs="Times New Roman" w:eastAsia="Times New Roman" w:hAnsi="Times New Roman"/>
          <w:sz w:val="22"/>
          <w:szCs w:val="22"/>
          <w:i w:val="1"/>
          <w:iCs w:val="1"/>
          <w:color w:val="auto"/>
        </w:rPr>
      </w:pPr>
    </w:p>
    <w:p>
      <w:pPr>
        <w:jc w:val="both"/>
        <w:ind w:firstLine="3367"/>
        <w:spacing w:after="0" w:line="241" w:lineRule="auto"/>
        <w:tabs>
          <w:tab w:leader="none" w:pos="4169"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Subsequent Options</w:t>
      </w:r>
      <w:r>
        <w:rPr>
          <w:rFonts w:ascii="Times New Roman" w:cs="Times New Roman" w:eastAsia="Times New Roman" w:hAnsi="Times New Roman"/>
          <w:sz w:val="22"/>
          <w:szCs w:val="22"/>
          <w:color w:val="auto"/>
        </w:rPr>
        <w:t>. Each Subsequent Option shall vest and become exercisable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 the earlier of the first anniversary of the date of grant or the day immediately prior to the date of the next annual meeting of the Company’s stockholders occurring after the date of grant, in either case, subject to the Non-Employee Director continuing in service as a Non-Employee Director through such vesting date.</w:t>
      </w:r>
    </w:p>
    <w:p>
      <w:pPr>
        <w:spacing w:after="0" w:line="171" w:lineRule="exact"/>
        <w:rPr>
          <w:rFonts w:ascii="Times New Roman" w:cs="Times New Roman" w:eastAsia="Times New Roman" w:hAnsi="Times New Roman"/>
          <w:sz w:val="22"/>
          <w:szCs w:val="22"/>
          <w:color w:val="auto"/>
        </w:rPr>
      </w:pPr>
    </w:p>
    <w:p>
      <w:pPr>
        <w:jc w:val="both"/>
        <w:ind w:firstLine="3367"/>
        <w:spacing w:after="0" w:line="237" w:lineRule="auto"/>
        <w:tabs>
          <w:tab w:leader="none" w:pos="4157"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Forfeiture of Options</w:t>
      </w:r>
      <w:r>
        <w:rPr>
          <w:rFonts w:ascii="Times New Roman" w:cs="Times New Roman" w:eastAsia="Times New Roman" w:hAnsi="Times New Roman"/>
          <w:sz w:val="22"/>
          <w:szCs w:val="22"/>
          <w:color w:val="auto"/>
        </w:rPr>
        <w:t>. Unless the Board otherwise determines, any portion of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Initial Option or Subsequent Option which is unvested or unexercisable at the time of a Non-Employee Director’s termination of service on the Board as a Non-Employee Director shall be immediately forfeited upon such termination of service and shall not thereafter become vested and exercisable. All of a Non-Employee Director’s Initial Options and Subsequent Options shall vest in full immediately prior to the occurrence of a Change in Control (as defined in the Equity Plan), to the extent outstanding at such time.</w:t>
      </w:r>
    </w:p>
    <w:p>
      <w:pPr>
        <w:spacing w:after="0" w:line="175" w:lineRule="exact"/>
        <w:rPr>
          <w:rFonts w:ascii="Times New Roman" w:cs="Times New Roman" w:eastAsia="Times New Roman" w:hAnsi="Times New Roman"/>
          <w:sz w:val="22"/>
          <w:szCs w:val="22"/>
          <w:color w:val="auto"/>
        </w:rPr>
      </w:pPr>
    </w:p>
    <w:p>
      <w:pPr>
        <w:ind w:firstLine="2600"/>
        <w:spacing w:after="0" w:line="262" w:lineRule="auto"/>
        <w:tabs>
          <w:tab w:leader="none" w:pos="3402"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w:t>
      </w:r>
      <w:r>
        <w:rPr>
          <w:rFonts w:ascii="Times New Roman" w:cs="Times New Roman" w:eastAsia="Times New Roman" w:hAnsi="Times New Roman"/>
          <w:sz w:val="22"/>
          <w:szCs w:val="22"/>
          <w:color w:val="auto"/>
        </w:rPr>
        <w:t>. The maximum term of each Option granted to a Non-Employee Director hereunder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be ten (10) years from the date the Option is granted.</w:t>
      </w:r>
    </w:p>
    <w:p>
      <w:pPr>
        <w:spacing w:after="0" w:line="1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Notwithstanding anything in this Program to the contrary, the sum of any cash compensation, or other compensation, and the value (determined as of the grant date in accordance with Financial Accounting Standards Board Accounting Standards Codification Topic 718, or any successor thereto) of Options granted to a Non-Employee Director as compensation for services as a Non-Employee Director during any fiscal year of the Company may not exceed $750,000 (the “</w:t>
      </w:r>
      <w:r>
        <w:rPr>
          <w:rFonts w:ascii="Times New Roman" w:cs="Times New Roman" w:eastAsia="Times New Roman" w:hAnsi="Times New Roman"/>
          <w:sz w:val="22"/>
          <w:szCs w:val="22"/>
          <w:b w:val="1"/>
          <w:bCs w:val="1"/>
          <w:i w:val="1"/>
          <w:iCs w:val="1"/>
          <w:color w:val="auto"/>
        </w:rPr>
        <w:t>NED Limit</w:t>
      </w:r>
      <w:r>
        <w:rPr>
          <w:rFonts w:ascii="Times New Roman" w:cs="Times New Roman" w:eastAsia="Times New Roman" w:hAnsi="Times New Roman"/>
          <w:sz w:val="22"/>
          <w:szCs w:val="22"/>
          <w:color w:val="auto"/>
        </w:rPr>
        <w:t>”). The NED Limit shall be applied to reduce compensation in the following order: (A) reduction in any Initial Option granted during such year; (B) reduction in any Subsequent Option granted during such year; (C) reduction on a pro-rata basis of any cash or other compensation, payments or benefits that are exempt from Section 409A of the Internal Revenue Code of 1986, as amended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and (D) reduction of any cash or other compensation, payments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94" w:name="page95"/>
    <w:bookmarkEnd w:id="94"/>
    <w:p>
      <w:pPr>
        <w:jc w:val="both"/>
        <w:spacing w:after="0" w:line="255" w:lineRule="auto"/>
        <w:rPr>
          <w:sz w:val="20"/>
          <w:szCs w:val="20"/>
          <w:color w:val="auto"/>
        </w:rPr>
      </w:pPr>
      <w:r>
        <w:rPr>
          <w:rFonts w:ascii="Times New Roman" w:cs="Times New Roman" w:eastAsia="Times New Roman" w:hAnsi="Times New Roman"/>
          <w:sz w:val="21"/>
          <w:szCs w:val="21"/>
          <w:color w:val="auto"/>
        </w:rPr>
        <w:t>benefits otherwise payable to the Non-Employee Director on a pro-rata basis or such other manner that complies with Section 409A. The Board may make exceptions to the NED Limit in extraordinary circumstances, as the Board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Date: May 9, 2022</w:t>
      </w:r>
    </w:p>
    <w:p>
      <w:pPr>
        <w:sectPr>
          <w:pgSz w:w="11900" w:h="16838" w:orient="portrait"/>
          <w:cols w:equalWidth="0" w:num="1">
            <w:col w:w="11240"/>
          </w:cols>
          <w:pgMar w:left="320" w:top="342"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0"/>
          <w:szCs w:val="20"/>
          <w:b w:val="1"/>
          <w:bCs w:val="1"/>
          <w:color w:val="auto"/>
        </w:rPr>
        <w:t>Exhibit 10.5</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SEVENTH AMENDMENT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w:t>
      </w: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LOAN AND SECURITY AGREEMENT</w:t>
      </w:r>
    </w:p>
    <w:p>
      <w:pPr>
        <w:spacing w:after="0" w:line="203" w:lineRule="exact"/>
        <w:rPr>
          <w:sz w:val="20"/>
          <w:szCs w:val="20"/>
          <w:color w:val="auto"/>
        </w:rPr>
      </w:pPr>
    </w:p>
    <w:p>
      <w:pPr>
        <w:jc w:val="both"/>
        <w:ind w:firstLine="801"/>
        <w:spacing w:after="0" w:line="250" w:lineRule="auto"/>
        <w:rPr>
          <w:sz w:val="20"/>
          <w:szCs w:val="20"/>
          <w:color w:val="auto"/>
        </w:rPr>
      </w:pPr>
      <w:r>
        <w:rPr>
          <w:rFonts w:ascii="Times New Roman" w:cs="Times New Roman" w:eastAsia="Times New Roman" w:hAnsi="Times New Roman"/>
          <w:sz w:val="20"/>
          <w:szCs w:val="20"/>
          <w:color w:val="auto"/>
        </w:rPr>
        <w:t>This Seventh Amendment to Loan and Security Agreement (this “</w:t>
      </w:r>
      <w:r>
        <w:rPr>
          <w:rFonts w:ascii="Times New Roman" w:cs="Times New Roman" w:eastAsia="Times New Roman" w:hAnsi="Times New Roman"/>
          <w:sz w:val="20"/>
          <w:szCs w:val="20"/>
          <w:b w:val="1"/>
          <w:bCs w:val="1"/>
          <w:i w:val="1"/>
          <w:iCs w:val="1"/>
          <w:color w:val="auto"/>
        </w:rPr>
        <w:t>Amendment</w:t>
      </w:r>
      <w:r>
        <w:rPr>
          <w:rFonts w:ascii="Times New Roman" w:cs="Times New Roman" w:eastAsia="Times New Roman" w:hAnsi="Times New Roman"/>
          <w:sz w:val="20"/>
          <w:szCs w:val="20"/>
          <w:color w:val="auto"/>
        </w:rPr>
        <w:t>”) is entered into as of May 27, 2022, by and among PACIFIC WESTERN BANK, a California state-chartered bank (“</w:t>
      </w:r>
      <w:r>
        <w:rPr>
          <w:rFonts w:ascii="Times New Roman" w:cs="Times New Roman" w:eastAsia="Times New Roman" w:hAnsi="Times New Roman"/>
          <w:sz w:val="20"/>
          <w:szCs w:val="20"/>
          <w:b w:val="1"/>
          <w:bCs w:val="1"/>
          <w:i w:val="1"/>
          <w:iCs w:val="1"/>
          <w:color w:val="auto"/>
        </w:rPr>
        <w:t>Bank</w:t>
      </w:r>
      <w:r>
        <w:rPr>
          <w:rFonts w:ascii="Times New Roman" w:cs="Times New Roman" w:eastAsia="Times New Roman" w:hAnsi="Times New Roman"/>
          <w:sz w:val="20"/>
          <w:szCs w:val="20"/>
          <w:color w:val="auto"/>
        </w:rPr>
        <w:t>”), PRECISION BIOSCIENCES, INC. (“</w:t>
      </w:r>
      <w:r>
        <w:rPr>
          <w:rFonts w:ascii="Times New Roman" w:cs="Times New Roman" w:eastAsia="Times New Roman" w:hAnsi="Times New Roman"/>
          <w:sz w:val="20"/>
          <w:szCs w:val="20"/>
          <w:b w:val="1"/>
          <w:bCs w:val="1"/>
          <w:i w:val="1"/>
          <w:iCs w:val="1"/>
          <w:color w:val="auto"/>
        </w:rPr>
        <w:t>Precision</w:t>
      </w:r>
      <w:r>
        <w:rPr>
          <w:rFonts w:ascii="Times New Roman" w:cs="Times New Roman" w:eastAsia="Times New Roman" w:hAnsi="Times New Roman"/>
          <w:sz w:val="20"/>
          <w:szCs w:val="20"/>
          <w:color w:val="auto"/>
        </w:rPr>
        <w:t>”), and PRECISION PLANTSCIENCES, INC. f/k/a ELO LIFE SYSTEMS, INC. (“</w:t>
      </w:r>
      <w:r>
        <w:rPr>
          <w:rFonts w:ascii="Times New Roman" w:cs="Times New Roman" w:eastAsia="Times New Roman" w:hAnsi="Times New Roman"/>
          <w:sz w:val="20"/>
          <w:szCs w:val="20"/>
          <w:b w:val="1"/>
          <w:bCs w:val="1"/>
          <w:i w:val="1"/>
          <w:iCs w:val="1"/>
          <w:color w:val="auto"/>
        </w:rPr>
        <w:t>PlantSciences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ELO</w:t>
      </w:r>
      <w:r>
        <w:rPr>
          <w:rFonts w:ascii="Times New Roman" w:cs="Times New Roman" w:eastAsia="Times New Roman" w:hAnsi="Times New Roman"/>
          <w:sz w:val="20"/>
          <w:szCs w:val="20"/>
          <w:color w:val="auto"/>
        </w:rPr>
        <w:t>”, and individually and collectively, jointly and severally, with Precision, “</w:t>
      </w:r>
      <w:r>
        <w:rPr>
          <w:rFonts w:ascii="Times New Roman" w:cs="Times New Roman" w:eastAsia="Times New Roman" w:hAnsi="Times New Roman"/>
          <w:sz w:val="20"/>
          <w:szCs w:val="20"/>
          <w:b w:val="1"/>
          <w:bCs w:val="1"/>
          <w:i w:val="1"/>
          <w:iCs w:val="1"/>
          <w:color w:val="auto"/>
        </w:rPr>
        <w:t>Borrower</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RECITALS</w:t>
      </w:r>
    </w:p>
    <w:p>
      <w:pPr>
        <w:spacing w:after="0" w:line="233" w:lineRule="exact"/>
        <w:rPr>
          <w:sz w:val="20"/>
          <w:szCs w:val="20"/>
          <w:color w:val="auto"/>
        </w:rPr>
      </w:pPr>
    </w:p>
    <w:p>
      <w:pPr>
        <w:jc w:val="both"/>
        <w:ind w:firstLine="802"/>
        <w:spacing w:after="0" w:line="254" w:lineRule="auto"/>
        <w:rPr>
          <w:sz w:val="20"/>
          <w:szCs w:val="20"/>
          <w:color w:val="auto"/>
        </w:rPr>
      </w:pPr>
      <w:r>
        <w:rPr>
          <w:rFonts w:ascii="Times New Roman" w:cs="Times New Roman" w:eastAsia="Times New Roman" w:hAnsi="Times New Roman"/>
          <w:sz w:val="20"/>
          <w:szCs w:val="20"/>
          <w:color w:val="auto"/>
        </w:rPr>
        <w:t>Borrower and Bank are parties to that certain Loan and Security Agreement dated as of May 15, 2019 (as has been and may be further amended, restated, supplemented, or otherwise modified from time to time,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The parties desire to amend the Agreement in accordance with the terms of this Amendment.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NOW, THEREFORE, the parties agree as follows:</w:t>
      </w:r>
    </w:p>
    <w:p>
      <w:pPr>
        <w:spacing w:after="0" w:line="229" w:lineRule="exact"/>
        <w:rPr>
          <w:sz w:val="20"/>
          <w:szCs w:val="20"/>
          <w:color w:val="auto"/>
        </w:rPr>
      </w:pPr>
    </w:p>
    <w:p>
      <w:pPr>
        <w:ind w:left="540" w:hanging="532"/>
        <w:spacing w:after="0"/>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Amendments.</w:t>
      </w:r>
    </w:p>
    <w:p>
      <w:pPr>
        <w:spacing w:after="0" w:line="229" w:lineRule="exact"/>
        <w:rPr>
          <w:rFonts w:ascii="Times New Roman" w:cs="Times New Roman" w:eastAsia="Times New Roman" w:hAnsi="Times New Roman"/>
          <w:sz w:val="18"/>
          <w:szCs w:val="18"/>
          <w:color w:val="auto"/>
        </w:rPr>
      </w:pPr>
    </w:p>
    <w:p>
      <w:pPr>
        <w:jc w:val="both"/>
        <w:ind w:left="1080" w:hanging="532"/>
        <w:spacing w:after="0" w:line="249" w:lineRule="auto"/>
        <w:tabs>
          <w:tab w:leader="none" w:pos="10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ELO hereby confirms that it changed its legal name to PRECISION PLANTSCIENCES, INC. on December 21, 2021. Bank and each Borrower hereby agree that the Agreement, the prior amendments, and any and all other Loan Documents are hereby amended wherever necessary to reflect that the legal name of ELO LIFE SYSTEMS, INC. has changed to PRECISION PLANTSCIENCES, INC.</w:t>
      </w:r>
    </w:p>
    <w:p>
      <w:pPr>
        <w:spacing w:after="0" w:line="19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Section 2.3(a)(i) of the Agreement is hereby amended and restated in its entirety to read as follows:</w:t>
      </w:r>
    </w:p>
    <w:p>
      <w:pPr>
        <w:spacing w:after="0" w:line="225" w:lineRule="exact"/>
        <w:rPr>
          <w:rFonts w:ascii="Times New Roman" w:cs="Times New Roman" w:eastAsia="Times New Roman" w:hAnsi="Times New Roman"/>
          <w:sz w:val="18"/>
          <w:szCs w:val="18"/>
          <w:color w:val="auto"/>
        </w:rPr>
      </w:pPr>
    </w:p>
    <w:p>
      <w:pPr>
        <w:ind w:firstLine="1100"/>
        <w:spacing w:after="0" w:line="273" w:lineRule="auto"/>
        <w:tabs>
          <w:tab w:leader="none" w:pos="1924" w:val="left"/>
        </w:tabs>
        <w:numPr>
          <w:ilvl w:val="2"/>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Advances. </w:t>
      </w:r>
      <w:r>
        <w:rPr>
          <w:rFonts w:ascii="Times New Roman" w:cs="Times New Roman" w:eastAsia="Times New Roman" w:hAnsi="Times New Roman"/>
          <w:sz w:val="20"/>
          <w:szCs w:val="20"/>
          <w:color w:val="auto"/>
        </w:rPr>
        <w:t>Except as set forth in Section 2.3(b), the Advances shall bear interest, on the outstanding daily balance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thereof, at a variable annual rate equal to the greater of (A) 0.75% above the Prime Rate, and (B) 4.25%.</w:t>
      </w:r>
    </w:p>
    <w:p>
      <w:pPr>
        <w:spacing w:after="0" w:line="169" w:lineRule="exact"/>
        <w:rPr>
          <w:rFonts w:ascii="Times New Roman" w:cs="Times New Roman" w:eastAsia="Times New Roman" w:hAnsi="Times New Roman"/>
          <w:sz w:val="20"/>
          <w:szCs w:val="20"/>
          <w:b w:val="1"/>
          <w:bCs w:val="1"/>
          <w:color w:val="auto"/>
        </w:rPr>
      </w:pPr>
    </w:p>
    <w:p>
      <w:pPr>
        <w:ind w:left="1080" w:hanging="532"/>
        <w:spacing w:after="0"/>
        <w:tabs>
          <w:tab w:leader="none" w:pos="10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Section 2.5(a) of the Agreement is hereby amended and restated in its entirety to read as follows:</w:t>
      </w:r>
    </w:p>
    <w:p>
      <w:pPr>
        <w:spacing w:after="0" w:line="225" w:lineRule="exact"/>
        <w:rPr>
          <w:rFonts w:ascii="Times New Roman" w:cs="Times New Roman" w:eastAsia="Times New Roman" w:hAnsi="Times New Roman"/>
          <w:sz w:val="18"/>
          <w:szCs w:val="18"/>
          <w:color w:val="auto"/>
        </w:rPr>
      </w:pPr>
    </w:p>
    <w:p>
      <w:pPr>
        <w:ind w:left="2540" w:right="840" w:hanging="696"/>
        <w:spacing w:after="0" w:line="273" w:lineRule="auto"/>
        <w:tabs>
          <w:tab w:leader="none" w:pos="2540" w:val="left"/>
        </w:tabs>
        <w:numPr>
          <w:ilvl w:val="4"/>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20"/>
          <w:szCs w:val="20"/>
          <w:b w:val="1"/>
          <w:bCs w:val="1"/>
          <w:color w:val="auto"/>
        </w:rPr>
        <w:t>Facility Fee</w:t>
      </w:r>
      <w:r>
        <w:rPr>
          <w:rFonts w:ascii="Times New Roman" w:cs="Times New Roman" w:eastAsia="Times New Roman" w:hAnsi="Times New Roman"/>
          <w:sz w:val="20"/>
          <w:szCs w:val="20"/>
          <w:color w:val="auto"/>
        </w:rPr>
        <w:t>. On the Seventh Amendment Date, a fee in an amount equal to Thirty Thousand Dollars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($30,000).</w:t>
      </w:r>
    </w:p>
    <w:p>
      <w:pPr>
        <w:spacing w:after="0" w:line="169"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Section 2.5(e) of the Agreement is hereby amended and restated in its entirety to read as follows:</w:t>
      </w:r>
    </w:p>
    <w:p>
      <w:pPr>
        <w:spacing w:after="0" w:line="225" w:lineRule="exact"/>
        <w:rPr>
          <w:rFonts w:ascii="Times New Roman" w:cs="Times New Roman" w:eastAsia="Times New Roman" w:hAnsi="Times New Roman"/>
          <w:sz w:val="18"/>
          <w:szCs w:val="18"/>
          <w:color w:val="auto"/>
        </w:rPr>
      </w:pPr>
    </w:p>
    <w:p>
      <w:pPr>
        <w:jc w:val="both"/>
        <w:ind w:left="2600" w:right="120" w:hanging="797"/>
        <w:spacing w:after="0" w:line="245" w:lineRule="auto"/>
        <w:tabs>
          <w:tab w:leader="none" w:pos="2600" w:val="left"/>
        </w:tabs>
        <w:numPr>
          <w:ilvl w:val="3"/>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Success Fee. </w:t>
      </w:r>
      <w:r>
        <w:rPr>
          <w:rFonts w:ascii="Times New Roman" w:cs="Times New Roman" w:eastAsia="Times New Roman" w:hAnsi="Times New Roman"/>
          <w:sz w:val="20"/>
          <w:szCs w:val="20"/>
          <w:color w:val="auto"/>
        </w:rPr>
        <w:t>Upon the occurrence of a Success Fee Event, a one-time fee of (i) $150,000 if paid 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before December 31, 2022, or (ii) $250,000 if paid after December 31, 2022 (the “Success Fee”). Borrower shall deliver reasonable advance written notice to Bank of a Success Fee Event, and shall pay Bank the Success Fee no later than five (5) days following receipt of proceeds upon the consummation of a Success Fee Event. This Section 2.5(e) shall survive termination of this Agreement. For the avoidance of doubt, the occurrence of more than one Success Fee Event will not obligate Borrower to pay more than one Success Fee.</w:t>
      </w:r>
    </w:p>
    <w:p>
      <w:pPr>
        <w:spacing w:after="0" w:line="196" w:lineRule="exact"/>
        <w:rPr>
          <w:rFonts w:ascii="Times New Roman" w:cs="Times New Roman" w:eastAsia="Times New Roman" w:hAnsi="Times New Roman"/>
          <w:sz w:val="20"/>
          <w:szCs w:val="20"/>
          <w:b w:val="1"/>
          <w:bCs w:val="1"/>
          <w:color w:val="auto"/>
        </w:rPr>
      </w:pPr>
    </w:p>
    <w:p>
      <w:pPr>
        <w:ind w:left="1080" w:hanging="532"/>
        <w:spacing w:after="0"/>
        <w:tabs>
          <w:tab w:leader="none" w:pos="10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Section 5.8 of the Agreement is hereby amended and restated in its entirety to read as follows:</w:t>
      </w:r>
    </w:p>
    <w:p>
      <w:pPr>
        <w:spacing w:after="0" w:line="225" w:lineRule="exact"/>
        <w:rPr>
          <w:sz w:val="20"/>
          <w:szCs w:val="20"/>
          <w:color w:val="auto"/>
        </w:rPr>
      </w:pPr>
    </w:p>
    <w:p>
      <w:pPr>
        <w:ind w:left="1620" w:right="280"/>
        <w:spacing w:after="0" w:line="250" w:lineRule="auto"/>
        <w:rPr>
          <w:sz w:val="20"/>
          <w:szCs w:val="20"/>
          <w:color w:val="auto"/>
        </w:rPr>
      </w:pPr>
      <w:r>
        <w:rPr>
          <w:rFonts w:ascii="Times New Roman" w:cs="Times New Roman" w:eastAsia="Times New Roman" w:hAnsi="Times New Roman"/>
          <w:sz w:val="20"/>
          <w:szCs w:val="20"/>
          <w:b w:val="1"/>
          <w:bCs w:val="1"/>
          <w:color w:val="auto"/>
        </w:rPr>
        <w:t>5.8 Solvency, Payment of Debts</w:t>
      </w:r>
      <w:r>
        <w:rPr>
          <w:rFonts w:ascii="Times New Roman" w:cs="Times New Roman" w:eastAsia="Times New Roman" w:hAnsi="Times New Roman"/>
          <w:sz w:val="20"/>
          <w:szCs w:val="20"/>
          <w:color w:val="auto"/>
        </w:rPr>
        <w:t>. Precision is able to pay its debts (including trade debts) as they mature;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fair saleable value of Precision’s assets (including goodwill minus disposition costs) exceeds the fair value of its liabilities; and Precision is not left with unreasonably small capital after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6" w:name="page97"/>
    <w:bookmarkEnd w:id="96"/>
    <w:p>
      <w:pPr>
        <w:ind w:left="1080" w:right="100" w:hanging="532"/>
        <w:spacing w:after="0" w:line="269"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the Agreement is amended by amending and restating in their entirety, or adding, in appropriate alphabetical order, as applicable, the following defined terms to read as follows:</w:t>
      </w:r>
    </w:p>
    <w:p>
      <w:pPr>
        <w:spacing w:after="0" w:line="173" w:lineRule="exact"/>
        <w:rPr>
          <w:sz w:val="20"/>
          <w:szCs w:val="20"/>
          <w:color w:val="auto"/>
        </w:rPr>
      </w:pPr>
    </w:p>
    <w:p>
      <w:pPr>
        <w:jc w:val="both"/>
        <w:ind w:firstLine="1605"/>
        <w:spacing w:after="0" w:line="249" w:lineRule="auto"/>
        <w:rPr>
          <w:sz w:val="20"/>
          <w:szCs w:val="20"/>
          <w:color w:val="auto"/>
        </w:rPr>
      </w:pPr>
      <w:r>
        <w:rPr>
          <w:rFonts w:ascii="Times New Roman" w:cs="Times New Roman" w:eastAsia="Times New Roman" w:hAnsi="Times New Roman"/>
          <w:sz w:val="20"/>
          <w:szCs w:val="20"/>
          <w:color w:val="auto"/>
        </w:rPr>
        <w:t>“Credit Card Maturity Date” means June 23, 2023; provided however, that (i) if Borrower achieves Extension Milestone 1, the “Credit Card Maturity Date” shall instead mean August 31, 2023; (ii) if Borrower achieves Extension Milestone 1 and Extension Milestone 2, the “Credit Card Maturity Date” shall instead mean March 23, 2024; and (iii) if Borrower achieves Extension Milestone 1, Extension Milestone 2, and Extension Milestone 3, the “Credit Card Maturity Date” shall instead mean June 23, 2024.</w:t>
      </w:r>
    </w:p>
    <w:p>
      <w:pPr>
        <w:spacing w:after="0" w:line="193" w:lineRule="exact"/>
        <w:rPr>
          <w:sz w:val="20"/>
          <w:szCs w:val="20"/>
          <w:color w:val="auto"/>
        </w:rPr>
      </w:pPr>
    </w:p>
    <w:p>
      <w:pPr>
        <w:jc w:val="both"/>
        <w:ind w:right="20" w:firstLine="1605"/>
        <w:spacing w:after="0" w:line="269" w:lineRule="auto"/>
        <w:rPr>
          <w:sz w:val="20"/>
          <w:szCs w:val="20"/>
          <w:color w:val="auto"/>
        </w:rPr>
      </w:pPr>
      <w:r>
        <w:rPr>
          <w:rFonts w:ascii="Times New Roman" w:cs="Times New Roman" w:eastAsia="Times New Roman" w:hAnsi="Times New Roman"/>
          <w:sz w:val="20"/>
          <w:szCs w:val="20"/>
          <w:color w:val="auto"/>
        </w:rPr>
        <w:t>“Extension Milestone 1” means Borrower has delivered to Bank, on or before June 23, 2023, evidence acceptable to Bank that Borrower has received aggregate New Gross Proceeds of at least Twenty Million Dollars ($20,000,000).</w:t>
      </w:r>
    </w:p>
    <w:p>
      <w:pPr>
        <w:spacing w:after="0" w:line="173" w:lineRule="exact"/>
        <w:rPr>
          <w:sz w:val="20"/>
          <w:szCs w:val="20"/>
          <w:color w:val="auto"/>
        </w:rPr>
      </w:pPr>
    </w:p>
    <w:p>
      <w:pPr>
        <w:jc w:val="both"/>
        <w:ind w:firstLine="1605"/>
        <w:spacing w:after="0" w:line="269" w:lineRule="auto"/>
        <w:rPr>
          <w:sz w:val="20"/>
          <w:szCs w:val="20"/>
          <w:color w:val="auto"/>
        </w:rPr>
      </w:pPr>
      <w:r>
        <w:rPr>
          <w:rFonts w:ascii="Times New Roman" w:cs="Times New Roman" w:eastAsia="Times New Roman" w:hAnsi="Times New Roman"/>
          <w:sz w:val="20"/>
          <w:szCs w:val="20"/>
          <w:color w:val="auto"/>
        </w:rPr>
        <w:t>“Extension Milestone 2” means Borrower has delivered to Bank, on or before August 31, 2023, evidence acceptable to Bank that Borrower has received aggregate New Gross Proceeds of at least Seventy-Five Million Dollars ($75,000,000).</w:t>
      </w:r>
    </w:p>
    <w:p>
      <w:pPr>
        <w:spacing w:after="0" w:line="173" w:lineRule="exact"/>
        <w:rPr>
          <w:sz w:val="20"/>
          <w:szCs w:val="20"/>
          <w:color w:val="auto"/>
        </w:rPr>
      </w:pPr>
    </w:p>
    <w:p>
      <w:pPr>
        <w:jc w:val="both"/>
        <w:ind w:firstLine="1605"/>
        <w:spacing w:after="0" w:line="269" w:lineRule="auto"/>
        <w:rPr>
          <w:sz w:val="20"/>
          <w:szCs w:val="20"/>
          <w:color w:val="auto"/>
        </w:rPr>
      </w:pPr>
      <w:r>
        <w:rPr>
          <w:rFonts w:ascii="Times New Roman" w:cs="Times New Roman" w:eastAsia="Times New Roman" w:hAnsi="Times New Roman"/>
          <w:sz w:val="20"/>
          <w:szCs w:val="20"/>
          <w:color w:val="auto"/>
        </w:rPr>
        <w:t>“Extension Milestone 3” means Borrower has delivered to Bank, on or before March 23, 2024, evidence acceptable to Bank that Borrower has received aggregate New Gross Proceeds of at least One Hundred Million Dollars ($100,000,000).</w:t>
      </w:r>
    </w:p>
    <w:p>
      <w:pPr>
        <w:spacing w:after="0" w:line="173" w:lineRule="exact"/>
        <w:rPr>
          <w:sz w:val="20"/>
          <w:szCs w:val="20"/>
          <w:color w:val="auto"/>
        </w:rPr>
      </w:pPr>
    </w:p>
    <w:p>
      <w:pPr>
        <w:jc w:val="both"/>
        <w:ind w:firstLine="1605"/>
        <w:spacing w:after="0" w:line="245" w:lineRule="auto"/>
        <w:rPr>
          <w:sz w:val="20"/>
          <w:szCs w:val="20"/>
          <w:color w:val="auto"/>
        </w:rPr>
      </w:pPr>
      <w:r>
        <w:rPr>
          <w:rFonts w:ascii="Times New Roman" w:cs="Times New Roman" w:eastAsia="Times New Roman" w:hAnsi="Times New Roman"/>
          <w:sz w:val="20"/>
          <w:szCs w:val="20"/>
          <w:color w:val="auto"/>
        </w:rPr>
        <w:t>“New Gross Proceeds” means gross Cash proceeds received by Borrower on or after May 1, 2022, from (i) the issuance of Borrower’s equity securities (including without limitation, from at-the market (ATM) offerings, private investment in public equity (PIPE) offerings, follow-on offerings, or other public or private offerings) or (ii) Cash proceeds from strategic partnerships or other out-licensing or similar arrangements (including without limitation, new target nomination fees or option exercise fees and any royalties or development or commercial milestone payments); in either case, whether arising under agreements entered into before, on or after the Seventh Amendment Date, and on commercially reasonable terms and conditions.</w:t>
      </w:r>
    </w:p>
    <w:p>
      <w:pPr>
        <w:spacing w:after="0" w:line="198" w:lineRule="exact"/>
        <w:rPr>
          <w:sz w:val="20"/>
          <w:szCs w:val="20"/>
          <w:color w:val="auto"/>
        </w:rPr>
      </w:pPr>
    </w:p>
    <w:p>
      <w:pPr>
        <w:jc w:val="both"/>
        <w:ind w:firstLine="1605"/>
        <w:spacing w:after="0" w:line="249" w:lineRule="auto"/>
        <w:rPr>
          <w:sz w:val="20"/>
          <w:szCs w:val="20"/>
          <w:color w:val="auto"/>
        </w:rPr>
      </w:pPr>
      <w:r>
        <w:rPr>
          <w:rFonts w:ascii="Times New Roman" w:cs="Times New Roman" w:eastAsia="Times New Roman" w:hAnsi="Times New Roman"/>
          <w:sz w:val="20"/>
          <w:szCs w:val="20"/>
          <w:color w:val="auto"/>
        </w:rPr>
        <w:t>“Revolving Maturity Date” means June 23, 2023; provided however, that (i) if Borrower achieves Extension Milestone 1, the “Revolving Maturity Date” shall instead mean August 31, 2023; (ii) if Borrower achieves Extension Milestone 1 and Extension Milestone 2, the “Revolving Maturity Date” shall instead mean March 23, 2024; and (iii) if Borrower achieves Extension Milestone 1, Extension Milestone 2, and Extension Milestone 3, the “Revolving Maturity Date” shall instead mean June 23, 2024.</w:t>
      </w:r>
    </w:p>
    <w:p>
      <w:pPr>
        <w:spacing w:after="0" w:line="1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0"/>
          <w:szCs w:val="20"/>
          <w:color w:val="auto"/>
        </w:rPr>
        <w:t>“Seventh Amendment Date” means May 27, 2022.</w:t>
      </w:r>
    </w:p>
    <w:p>
      <w:pPr>
        <w:spacing w:after="0" w:line="229" w:lineRule="exact"/>
        <w:rPr>
          <w:sz w:val="20"/>
          <w:szCs w:val="20"/>
          <w:color w:val="auto"/>
        </w:rPr>
      </w:pPr>
    </w:p>
    <w:p>
      <w:pPr>
        <w:jc w:val="both"/>
        <w:ind w:firstLine="1605"/>
        <w:spacing w:after="0" w:line="246" w:lineRule="auto"/>
        <w:rPr>
          <w:sz w:val="20"/>
          <w:szCs w:val="20"/>
          <w:color w:val="auto"/>
        </w:rPr>
      </w:pPr>
      <w:r>
        <w:rPr>
          <w:rFonts w:ascii="Times New Roman" w:cs="Times New Roman" w:eastAsia="Times New Roman" w:hAnsi="Times New Roman"/>
          <w:sz w:val="20"/>
          <w:szCs w:val="20"/>
          <w:color w:val="auto"/>
        </w:rPr>
        <w:t>“Success Fee Event” is (a) any merger or consolidation of Precision with or into another entity (except one in which the holders of equity of Precision immediately prior to such merger or consolidation continue to hold at least a majority of the voting power of the equity interests in the surviving entity), (b) any sale of all or substantially all of the assets of Precision and its Subsidiaries taken as a whole (in one or more related and contemporaneous transactions), or (c) closing of one or more related and contemporaneous transactions in which the aggregate New Gross Proceeds to Precision are at least Seventy-Five Million Dollars ($75,000,000).</w:t>
      </w:r>
    </w:p>
    <w:p>
      <w:pPr>
        <w:spacing w:after="0" w:line="198" w:lineRule="exact"/>
        <w:rPr>
          <w:sz w:val="20"/>
          <w:szCs w:val="20"/>
          <w:color w:val="auto"/>
        </w:rPr>
      </w:pPr>
    </w:p>
    <w:p>
      <w:pPr>
        <w:jc w:val="both"/>
        <w:ind w:left="540" w:hanging="532"/>
        <w:spacing w:after="0" w:line="249"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No course of dealing on the part of Bank or its officers, nor any failure or delay in the exercise of any right by Bank, shall operate as a waiver thereof, and any single or partial exercise of any such right shall not preclude any later exercise of any such right. Bank's failure at any time to require strict performance by Borrower of any provision shall not affect any right of Bank thereafter to demand strict compliance and performance. Any suspension or waiver of a right must be in writing signed by an officer of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338455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97" w:name="page98"/>
    <w:bookmarkEnd w:id="97"/>
    <w:p>
      <w:pPr>
        <w:jc w:val="both"/>
        <w:ind w:left="540" w:hanging="532"/>
        <w:spacing w:after="0" w:line="263" w:lineRule="auto"/>
        <w:tabs>
          <w:tab w:leader="none" w:pos="5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Unless otherwise defined, all initially capitalized terms in this Amendment shall be as defined in the Agreement. The Agreement, as amended hereby, shall be and remain in full force and effect in accordance with its respective terms and hereby is ratified and confirmed in all respects. Except as expressly set forth herein, the execution, delivery, and performance of this Amendment shall not operate as a waiver of, or as an amendment of, any right, power, or remedy of Bank under the Agreement, as in effect prior to the date hereof. Borrower ratifies and reaffirms the continuing effectiveness of all agreements entered into in connection with the Agreement.</w:t>
      </w:r>
    </w:p>
    <w:p>
      <w:pPr>
        <w:spacing w:after="0" w:line="179" w:lineRule="exact"/>
        <w:rPr>
          <w:rFonts w:ascii="Times New Roman" w:cs="Times New Roman" w:eastAsia="Times New Roman" w:hAnsi="Times New Roman"/>
          <w:sz w:val="17"/>
          <w:szCs w:val="17"/>
          <w:color w:val="auto"/>
        </w:rPr>
      </w:pPr>
    </w:p>
    <w:p>
      <w:pPr>
        <w:ind w:left="540" w:hanging="532"/>
        <w:spacing w:after="0" w:line="269"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Borrower represents and warrants that the representations and warranties contained in the Agreement are true and correct as of the date of this Amendment, and that no Event of Default has occurred and is continuing.</w:t>
      </w:r>
    </w:p>
    <w:p>
      <w:pPr>
        <w:spacing w:after="0" w:line="172" w:lineRule="exact"/>
        <w:rPr>
          <w:rFonts w:ascii="Times New Roman" w:cs="Times New Roman" w:eastAsia="Times New Roman" w:hAnsi="Times New Roman"/>
          <w:sz w:val="18"/>
          <w:szCs w:val="18"/>
          <w:color w:val="auto"/>
        </w:rPr>
      </w:pPr>
    </w:p>
    <w:p>
      <w:pPr>
        <w:jc w:val="both"/>
        <w:ind w:left="540" w:hanging="532"/>
        <w:spacing w:after="0" w:line="242"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This Amendment may be executed in any number of counterparts and by different parties on separate counterparts, each of which, when executed and delivered, shall be deemed to be an original, and all of which, when taken together, shall constitute but one and the same Amendment. Executed copies of this Amendment or the signature pages of this Amendment sent by facsimile or transmitted electronically in Portable Document Format (“PDF”) or any similar format, or transmitted electronically by digital image, DocuSign, or other means of electronic transmission, shall be treated as originals, fully binding and with full legal force and effect, and the parties waive any rights they may have to object to such treatment. The words “execution,” “signed,” “signature,” “delivery,” and words of like import in or relating to this Amendment and/or any document to be signed in connection with this Amendment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“Electronic Signatures” means any electronic symbol or process attached to, or associated with, any contract or other record and adopted by a person with the intent to sign, authenticate or accept such contract or record.</w:t>
      </w:r>
    </w:p>
    <w:p>
      <w:pPr>
        <w:spacing w:after="0" w:line="196"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terms of Article 11 of the Agreement are incorporated by reference herein,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18"/>
          <w:szCs w:val="18"/>
          <w:color w:val="auto"/>
        </w:rPr>
      </w:pPr>
    </w:p>
    <w:p>
      <w:pPr>
        <w:ind w:left="540" w:right="560" w:hanging="532"/>
        <w:spacing w:after="0" w:line="250"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As a condition to the effectiveness of this Amendment, Bank shall have received, in form and substance satisfactory to Bank, the following:</w:t>
      </w:r>
    </w:p>
    <w:p>
      <w:pPr>
        <w:spacing w:after="0" w:line="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this Amendment, duly executed by Borrower and Bank;</w:t>
      </w:r>
    </w:p>
    <w:p>
      <w:pPr>
        <w:ind w:left="1080" w:right="320" w:hanging="532"/>
        <w:spacing w:after="0" w:line="239" w:lineRule="auto"/>
        <w:tabs>
          <w:tab w:leader="none" w:pos="10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an officer’s certificate of each Borrower with respect to incumbency and resolutions authorizing the execution and delivery of this Amendment;</w:t>
      </w:r>
    </w:p>
    <w:p>
      <w:pPr>
        <w:jc w:val="both"/>
        <w:ind w:left="1080" w:right="220" w:hanging="532"/>
        <w:spacing w:after="0" w:line="239" w:lineRule="auto"/>
        <w:tabs>
          <w:tab w:leader="none" w:pos="10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payment of all Bank Expenses, including Bank’s expenses for the documentation of this Amendment and any related documents, and any UCC, good standing or intellectual property search or filing fees, which may be debited from any of Borrower’s deposit accounts maintained with Bank; and</w:t>
      </w:r>
    </w:p>
    <w:p>
      <w:pPr>
        <w:spacing w:after="0" w:line="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such other documents and completion of such other matters, as Bank may reasonably deem necessary or appropriate.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[Signatures appear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509905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2"/>
          <w:szCs w:val="22"/>
          <w:color w:val="auto"/>
        </w:rPr>
        <w:t>IN WITNESS WHEREOF, the undersigned have executed this Amendment as of the first date above written.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5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PRECISION BIOSCIENCES, INC</w:t>
            </w:r>
          </w:p>
        </w:tc>
        <w:tc>
          <w:tcPr>
            <w:tcW w:w="120" w:type="dxa"/>
            <w:vAlign w:val="bottom"/>
          </w:tcPr>
          <w:p>
            <w:pPr>
              <w:spacing w:after="0"/>
              <w:rPr>
                <w:sz w:val="22"/>
                <w:szCs w:val="22"/>
                <w:color w:val="auto"/>
              </w:rPr>
            </w:pPr>
          </w:p>
        </w:tc>
        <w:tc>
          <w:tcPr>
            <w:tcW w:w="562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PACIFIC WESTERN BANK</w:t>
            </w:r>
          </w:p>
        </w:tc>
      </w:tr>
      <w:tr>
        <w:trPr>
          <w:trHeight w:val="453"/>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John Alexander Kelly</w:t>
            </w:r>
          </w:p>
        </w:tc>
        <w:tc>
          <w:tcPr>
            <w:tcW w:w="12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By:</w:t>
            </w:r>
          </w:p>
        </w:tc>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Ryan Kelley</w:t>
            </w:r>
          </w:p>
        </w:tc>
      </w:tr>
      <w:tr>
        <w:trPr>
          <w:trHeight w:val="200"/>
        </w:trPr>
        <w:tc>
          <w:tcPr>
            <w:tcW w:w="6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820" w:type="dxa"/>
            <w:vAlign w:val="bottom"/>
            <w:gridSpan w:val="2"/>
          </w:tcPr>
          <w:p>
            <w:pPr>
              <w:spacing w:after="0" w:line="200" w:lineRule="exact"/>
              <w:rPr>
                <w:sz w:val="20"/>
                <w:szCs w:val="20"/>
                <w:color w:val="auto"/>
              </w:rPr>
            </w:pPr>
            <w:r>
              <w:rPr>
                <w:rFonts w:ascii="Times New Roman" w:cs="Times New Roman" w:eastAsia="Times New Roman" w:hAnsi="Times New Roman"/>
                <w:sz w:val="20"/>
                <w:szCs w:val="20"/>
                <w:color w:val="auto"/>
              </w:rPr>
              <w:t>Alex Kelly</w:t>
            </w:r>
          </w:p>
        </w:tc>
        <w:tc>
          <w:tcPr>
            <w:tcW w:w="120" w:type="dxa"/>
            <w:vAlign w:val="bottom"/>
          </w:tcPr>
          <w:p>
            <w:pPr>
              <w:spacing w:after="0"/>
              <w:rPr>
                <w:sz w:val="17"/>
                <w:szCs w:val="17"/>
                <w:color w:val="auto"/>
              </w:rPr>
            </w:pPr>
          </w:p>
        </w:tc>
        <w:tc>
          <w:tcPr>
            <w:tcW w:w="940" w:type="dxa"/>
            <w:vAlign w:val="bottom"/>
          </w:tcPr>
          <w:p>
            <w:pPr>
              <w:ind w:left="280"/>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46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Ryan Kelley</w:t>
            </w:r>
          </w:p>
        </w:tc>
      </w:tr>
      <w:tr>
        <w:trPr>
          <w:trHeight w:val="258"/>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Chief Financial Officer</w:t>
            </w:r>
          </w:p>
        </w:tc>
        <w:tc>
          <w:tcPr>
            <w:tcW w:w="120" w:type="dxa"/>
            <w:vAlign w:val="bottom"/>
          </w:tcPr>
          <w:p>
            <w:pPr>
              <w:spacing w:after="0"/>
              <w:rPr>
                <w:sz w:val="22"/>
                <w:szCs w:val="22"/>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Title:</w:t>
            </w:r>
          </w:p>
        </w:tc>
        <w:tc>
          <w:tcPr>
            <w:tcW w:w="4680" w:type="dxa"/>
            <w:vAlign w:val="bottom"/>
          </w:tcPr>
          <w:p>
            <w:pPr>
              <w:spacing w:after="0"/>
              <w:rPr>
                <w:sz w:val="20"/>
                <w:szCs w:val="20"/>
                <w:color w:val="auto"/>
              </w:rPr>
            </w:pPr>
            <w:r>
              <w:rPr>
                <w:rFonts w:ascii="Times New Roman" w:cs="Times New Roman" w:eastAsia="Times New Roman" w:hAnsi="Times New Roman"/>
                <w:sz w:val="20"/>
                <w:szCs w:val="20"/>
                <w:color w:val="auto"/>
              </w:rPr>
              <w:t>Vice President Client Manager</w:t>
            </w:r>
          </w:p>
        </w:tc>
      </w:tr>
      <w:tr>
        <w:trPr>
          <w:trHeight w:val="430"/>
        </w:trPr>
        <w:tc>
          <w:tcPr>
            <w:tcW w:w="55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PRECISION PLANTSCIENCES, INC</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58"/>
        </w:trPr>
        <w:tc>
          <w:tcPr>
            <w:tcW w:w="55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f/k/a ELO LIFE SYSTEMS, INC.</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680" w:type="dxa"/>
            <w:vAlign w:val="bottom"/>
          </w:tcPr>
          <w:p>
            <w:pPr>
              <w:spacing w:after="0"/>
              <w:rPr>
                <w:sz w:val="22"/>
                <w:szCs w:val="22"/>
                <w:color w:val="auto"/>
              </w:rPr>
            </w:pPr>
          </w:p>
        </w:tc>
      </w:tr>
      <w:tr>
        <w:trPr>
          <w:trHeight w:val="453"/>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60" w:type="dxa"/>
            <w:vAlign w:val="bottom"/>
          </w:tcPr>
          <w:p>
            <w:pPr>
              <w:spacing w:after="0"/>
              <w:rPr>
                <w:sz w:val="24"/>
                <w:szCs w:val="24"/>
                <w:color w:val="auto"/>
              </w:rPr>
            </w:pPr>
          </w:p>
        </w:tc>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Dario Scimeca</w:t>
            </w:r>
          </w:p>
        </w:tc>
        <w:tc>
          <w:tcPr>
            <w:tcW w:w="12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00"/>
        </w:trPr>
        <w:tc>
          <w:tcPr>
            <w:tcW w:w="68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160" w:type="dxa"/>
            <w:vAlign w:val="bottom"/>
          </w:tcPr>
          <w:p>
            <w:pPr>
              <w:spacing w:after="0"/>
              <w:rPr>
                <w:sz w:val="17"/>
                <w:szCs w:val="17"/>
                <w:color w:val="auto"/>
              </w:rPr>
            </w:pPr>
          </w:p>
        </w:tc>
        <w:tc>
          <w:tcPr>
            <w:tcW w:w="46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Dario Scimeca</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80" w:type="dxa"/>
            <w:vAlign w:val="bottom"/>
          </w:tcPr>
          <w:p>
            <w:pPr>
              <w:spacing w:after="0"/>
              <w:rPr>
                <w:sz w:val="17"/>
                <w:szCs w:val="17"/>
                <w:color w:val="auto"/>
              </w:rPr>
            </w:pPr>
          </w:p>
        </w:tc>
      </w:tr>
      <w:tr>
        <w:trPr>
          <w:trHeight w:val="258"/>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60" w:type="dxa"/>
            <w:vAlign w:val="bottom"/>
          </w:tcPr>
          <w:p>
            <w:pPr>
              <w:spacing w:after="0"/>
              <w:rPr>
                <w:sz w:val="22"/>
                <w:szCs w:val="22"/>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General Counsel &amp; Secretary</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680" w:type="dxa"/>
            <w:vAlign w:val="bottom"/>
          </w:tcPr>
          <w:p>
            <w:pPr>
              <w:spacing w:after="0"/>
              <w:rPr>
                <w:sz w:val="22"/>
                <w:szCs w:val="22"/>
                <w:color w:val="auto"/>
              </w:rPr>
            </w:pPr>
          </w:p>
        </w:tc>
      </w:tr>
    </w:tbl>
    <w:p>
      <w:pPr>
        <w:sectPr>
          <w:pgSz w:w="11900" w:h="16838" w:orient="portrait"/>
          <w:cols w:equalWidth="0" w:num="1">
            <w:col w:w="11240"/>
          </w:cols>
          <w:pgMar w:left="320" w:top="342"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Amoroso, certify that:</w:t>
      </w:r>
    </w:p>
    <w:p>
      <w:pPr>
        <w:spacing w:after="0" w:line="225" w:lineRule="exact"/>
        <w:rPr>
          <w:sz w:val="20"/>
          <w:szCs w:val="20"/>
          <w:color w:val="auto"/>
        </w:rPr>
      </w:pPr>
    </w:p>
    <w:p>
      <w:pPr>
        <w:ind w:left="620" w:hanging="612"/>
        <w:spacing w:after="0"/>
        <w:tabs>
          <w:tab w:leader="none" w:pos="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2022 of Precision BioSciences, Inc.;</w:t>
      </w:r>
    </w:p>
    <w:p>
      <w:pPr>
        <w:spacing w:after="0" w:line="225" w:lineRule="exact"/>
        <w:rPr>
          <w:rFonts w:ascii="Times New Roman" w:cs="Times New Roman" w:eastAsia="Times New Roman" w:hAnsi="Times New Roman"/>
          <w:sz w:val="18"/>
          <w:szCs w:val="18"/>
          <w:color w:val="auto"/>
        </w:rPr>
      </w:pPr>
    </w:p>
    <w:p>
      <w:pPr>
        <w:jc w:val="both"/>
        <w:ind w:left="620" w:right="160" w:hanging="612"/>
        <w:spacing w:after="0" w:line="266" w:lineRule="auto"/>
        <w:tabs>
          <w:tab w:leader="none" w:pos="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20" w:right="120" w:hanging="612"/>
        <w:spacing w:after="0" w:line="282" w:lineRule="auto"/>
        <w:tabs>
          <w:tab w:leader="none" w:pos="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20" w:right="160" w:hanging="612"/>
        <w:spacing w:after="0" w:line="266" w:lineRule="auto"/>
        <w:tabs>
          <w:tab w:leader="none" w:pos="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220" w:right="200" w:hanging="605"/>
        <w:spacing w:after="0" w:line="266" w:lineRule="auto"/>
        <w:tabs>
          <w:tab w:leader="none" w:pos="12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20" w:right="120" w:hanging="605"/>
        <w:spacing w:after="0" w:line="266" w:lineRule="auto"/>
        <w:tabs>
          <w:tab w:leader="none" w:pos="12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220" w:right="300" w:hanging="605"/>
        <w:spacing w:after="0" w:line="312" w:lineRule="auto"/>
        <w:tabs>
          <w:tab w:leader="none" w:pos="122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20" w:right="280" w:hanging="605"/>
        <w:spacing w:after="0" w:line="266" w:lineRule="auto"/>
        <w:tabs>
          <w:tab w:leader="none" w:pos="12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20" w:right="120" w:hanging="612"/>
        <w:spacing w:after="0" w:line="282" w:lineRule="auto"/>
        <w:tabs>
          <w:tab w:leader="none" w:pos="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220" w:right="540" w:hanging="605"/>
        <w:spacing w:after="0" w:line="282" w:lineRule="auto"/>
        <w:tabs>
          <w:tab w:leader="none" w:pos="12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220" w:right="220" w:hanging="605"/>
        <w:spacing w:after="0" w:line="282" w:lineRule="auto"/>
        <w:tabs>
          <w:tab w:leader="none" w:pos="12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400" w:val="left"/>
          <w:tab w:leader="none" w:pos="8220" w:val="left"/>
        </w:tabs>
        <w:rPr>
          <w:sz w:val="20"/>
          <w:szCs w:val="20"/>
          <w:color w:val="auto"/>
        </w:rPr>
      </w:pPr>
      <w:r>
        <w:rPr>
          <w:rFonts w:ascii="Times New Roman" w:cs="Times New Roman" w:eastAsia="Times New Roman" w:hAnsi="Times New Roman"/>
          <w:sz w:val="18"/>
          <w:szCs w:val="18"/>
          <w:color w:val="auto"/>
        </w:rPr>
        <w:t>Date: August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Amoroso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2"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8"/>
          <w:szCs w:val="18"/>
          <w:b w:val="1"/>
          <w:bCs w:val="1"/>
          <w:color w:val="auto"/>
        </w:rPr>
        <w:t>Michael Amoroso</w:t>
      </w:r>
    </w:p>
    <w:p>
      <w:pPr>
        <w:spacing w:after="0" w:line="31"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23"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Alexander Kelly, certify that:</w:t>
      </w:r>
    </w:p>
    <w:p>
      <w:pPr>
        <w:spacing w:after="0" w:line="225" w:lineRule="exact"/>
        <w:rPr>
          <w:sz w:val="20"/>
          <w:szCs w:val="20"/>
          <w:color w:val="auto"/>
        </w:rPr>
      </w:pPr>
    </w:p>
    <w:p>
      <w:pPr>
        <w:ind w:left="620" w:hanging="612"/>
        <w:spacing w:after="0"/>
        <w:tabs>
          <w:tab w:leader="none" w:pos="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2022 of Precision BioSciences, Inc.;</w:t>
      </w:r>
    </w:p>
    <w:p>
      <w:pPr>
        <w:spacing w:after="0" w:line="225" w:lineRule="exact"/>
        <w:rPr>
          <w:rFonts w:ascii="Times New Roman" w:cs="Times New Roman" w:eastAsia="Times New Roman" w:hAnsi="Times New Roman"/>
          <w:sz w:val="18"/>
          <w:szCs w:val="18"/>
          <w:color w:val="auto"/>
        </w:rPr>
      </w:pPr>
    </w:p>
    <w:p>
      <w:pPr>
        <w:jc w:val="both"/>
        <w:ind w:left="620" w:right="160" w:hanging="612"/>
        <w:spacing w:after="0" w:line="266" w:lineRule="auto"/>
        <w:tabs>
          <w:tab w:leader="none" w:pos="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20" w:right="120" w:hanging="612"/>
        <w:spacing w:after="0" w:line="282" w:lineRule="auto"/>
        <w:tabs>
          <w:tab w:leader="none" w:pos="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20" w:right="160" w:hanging="612"/>
        <w:spacing w:after="0" w:line="266" w:lineRule="auto"/>
        <w:tabs>
          <w:tab w:leader="none" w:pos="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220" w:right="200" w:hanging="605"/>
        <w:spacing w:after="0" w:line="266" w:lineRule="auto"/>
        <w:tabs>
          <w:tab w:leader="none" w:pos="12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220" w:right="120" w:hanging="605"/>
        <w:spacing w:after="0" w:line="266" w:lineRule="auto"/>
        <w:tabs>
          <w:tab w:leader="none" w:pos="12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220" w:right="300" w:hanging="605"/>
        <w:spacing w:after="0" w:line="312" w:lineRule="auto"/>
        <w:tabs>
          <w:tab w:leader="none" w:pos="122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220" w:right="280" w:hanging="605"/>
        <w:spacing w:after="0" w:line="266" w:lineRule="auto"/>
        <w:tabs>
          <w:tab w:leader="none" w:pos="12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20" w:right="120" w:hanging="612"/>
        <w:spacing w:after="0" w:line="282" w:lineRule="auto"/>
        <w:tabs>
          <w:tab w:leader="none" w:pos="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220" w:right="540" w:hanging="605"/>
        <w:spacing w:after="0" w:line="282" w:lineRule="auto"/>
        <w:tabs>
          <w:tab w:leader="none" w:pos="12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220" w:right="220" w:hanging="605"/>
        <w:spacing w:after="0" w:line="282" w:lineRule="auto"/>
        <w:tabs>
          <w:tab w:leader="none" w:pos="12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400" w:val="left"/>
          <w:tab w:leader="none" w:pos="8080" w:val="left"/>
        </w:tabs>
        <w:rPr>
          <w:sz w:val="20"/>
          <w:szCs w:val="20"/>
          <w:color w:val="auto"/>
        </w:rPr>
      </w:pPr>
      <w:r>
        <w:rPr>
          <w:rFonts w:ascii="Times New Roman" w:cs="Times New Roman" w:eastAsia="Times New Roman" w:hAnsi="Times New Roman"/>
          <w:sz w:val="18"/>
          <w:szCs w:val="18"/>
          <w:color w:val="auto"/>
        </w:rPr>
        <w:t>Date: August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Alexander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2"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8"/>
          <w:szCs w:val="18"/>
          <w:b w:val="1"/>
          <w:bCs w:val="1"/>
          <w:color w:val="auto"/>
        </w:rPr>
        <w:t>John Alexander Kelly</w:t>
      </w:r>
    </w:p>
    <w:p>
      <w:pPr>
        <w:spacing w:after="0" w:line="31"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17"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Precision BioSciences, Inc. (the “Company”) on Form 10-Q for the quarterly period ended June 30, 2022;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00" w:hanging="493"/>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00" w:right="560" w:hanging="493"/>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6400" w:val="left"/>
        </w:tabs>
        <w:rPr>
          <w:sz w:val="20"/>
          <w:szCs w:val="20"/>
          <w:color w:val="auto"/>
        </w:rPr>
      </w:pPr>
      <w:r>
        <w:rPr>
          <w:rFonts w:ascii="Times New Roman" w:cs="Times New Roman" w:eastAsia="Times New Roman" w:hAnsi="Times New Roman"/>
          <w:sz w:val="18"/>
          <w:szCs w:val="18"/>
          <w:color w:val="auto"/>
        </w:rPr>
        <w:t>Date: August 8, 2022</w:t>
      </w:r>
      <w:r>
        <w:rPr>
          <w:sz w:val="20"/>
          <w:szCs w:val="20"/>
          <w:color w:val="auto"/>
        </w:rPr>
        <w:tab/>
      </w:r>
      <w:r>
        <w:rPr>
          <w:rFonts w:ascii="Times New Roman" w:cs="Times New Roman" w:eastAsia="Times New Roman" w:hAnsi="Times New Roman"/>
          <w:sz w:val="18"/>
          <w:szCs w:val="18"/>
          <w:color w:val="auto"/>
        </w:rPr>
        <w:t>By: /s/ Michael Amoroso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2"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8"/>
          <w:szCs w:val="18"/>
          <w:b w:val="1"/>
          <w:bCs w:val="1"/>
          <w:color w:val="auto"/>
        </w:rPr>
        <w:t>Michael Amoroso</w:t>
      </w:r>
    </w:p>
    <w:p>
      <w:pPr>
        <w:spacing w:after="0" w:line="31"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23"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Precision BioSciences, Inc. (the “Company”) on Form 10-Q for the quarterly period ended June 30, 2022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00" w:hanging="493"/>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00" w:right="560" w:hanging="493"/>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6400" w:val="left"/>
          <w:tab w:leader="none" w:pos="8080" w:val="left"/>
        </w:tabs>
        <w:rPr>
          <w:sz w:val="20"/>
          <w:szCs w:val="20"/>
          <w:color w:val="auto"/>
        </w:rPr>
      </w:pPr>
      <w:r>
        <w:rPr>
          <w:rFonts w:ascii="Times New Roman" w:cs="Times New Roman" w:eastAsia="Times New Roman" w:hAnsi="Times New Roman"/>
          <w:sz w:val="18"/>
          <w:szCs w:val="18"/>
          <w:color w:val="auto"/>
        </w:rPr>
        <w:t>Date: August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Alexander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2"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8"/>
          <w:szCs w:val="18"/>
          <w:b w:val="1"/>
          <w:bCs w:val="1"/>
          <w:color w:val="auto"/>
        </w:rPr>
        <w:t>John Alexander Kelly</w:t>
      </w:r>
    </w:p>
    <w:p>
      <w:pPr>
        <w:spacing w:after="0" w:line="31"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lvl w:ilvl="1">
      <w:lvlJc w:val="left"/>
      <w:lvlText w:val="%2"/>
      <w:numFmt w:val="decimal"/>
      <w:start w:val="104"/>
    </w:lvl>
  </w:abstractNum>
  <w:abstractNum w:abstractNumId="37">
    <w:nsid w:val="725A06FB"/>
    <w:multiLevelType w:val="hybridMultilevel"/>
    <w:lvl w:ilvl="0">
      <w:lvlJc w:val="left"/>
      <w:lvlText w:val="**"/>
      <w:numFmt w:val="bullet"/>
      <w:start w:val="1"/>
    </w:lvl>
    <w:lvl w:ilvl="1">
      <w:lvlJc w:val="left"/>
      <w:lvlText w:val="%2"/>
      <w:numFmt w:val="decimal"/>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1."/>
      <w:numFmt w:val="upperLetter"/>
      <w:start w:val="1"/>
    </w:lvl>
  </w:abstractNum>
  <w:abstractNum w:abstractNumId="41">
    <w:nsid w:val="4B588F54"/>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42">
    <w:nsid w:val="542289E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lvl w:ilvl="3">
      <w:lvlJc w:val="left"/>
      <w:lvlText w:val="(%4)"/>
      <w:numFmt w:val="lowerLetter"/>
      <w:start w:val="5"/>
    </w:lvl>
    <w:lvl w:ilvl="4">
      <w:lvlJc w:val="left"/>
      <w:lvlText w:val="(%5)"/>
      <w:numFmt w:val="lowerLetter"/>
      <w:start w:val="1"/>
    </w:lvl>
  </w:abstractNum>
  <w:abstractNum w:abstractNumId="43">
    <w:nsid w:val="6DE91B18"/>
    <w:multiLevelType w:val="hybridMultilevel"/>
    <w:lvl w:ilvl="0">
      <w:lvlJc w:val="left"/>
      <w:lvlText w:val="%1)"/>
      <w:numFmt w:val="lowerLetter"/>
      <w:start w:val="6"/>
    </w:lvl>
  </w:abstractNum>
  <w:abstractNum w:abstractNumId="44">
    <w:nsid w:val="38437FDB"/>
    <w:multiLevelType w:val="hybridMultilevel"/>
    <w:lvl w:ilvl="0">
      <w:lvlJc w:val="left"/>
      <w:lvlText w:val="%1)"/>
      <w:numFmt w:val="decimal"/>
      <w:start w:val="2"/>
    </w:lvl>
  </w:abstractNum>
  <w:abstractNum w:abstractNumId="45">
    <w:nsid w:val="7644A45C"/>
    <w:multiLevelType w:val="hybridMultilevel"/>
    <w:lvl w:ilvl="0">
      <w:lvlJc w:val="left"/>
      <w:lvlText w:val="%1)"/>
      <w:numFmt w:val="decimal"/>
      <w:start w:val="3"/>
    </w:lvl>
    <w:lvl w:ilvl="1">
      <w:lvlJc w:val="left"/>
      <w:lvlText w:val="%2)"/>
      <w:numFmt w:val="lowerLetter"/>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10" Type="http://schemas.openxmlformats.org/officeDocument/2006/relationships/hyperlink" Target="http://www.sec.gov/Archives/edgar/data/1357874/000119312519094641/d727819dex31.htm" TargetMode="External"/><Relationship Id="rId111" Type="http://schemas.openxmlformats.org/officeDocument/2006/relationships/hyperlink" Target="http://www.sec.gov/Archives/edgar/data/1357874/000156459020052737/dtil-ex32_377.htm" TargetMode="External"/><Relationship Id="rId112" Type="http://schemas.openxmlformats.org/officeDocument/2006/relationships/hyperlink" Target="http://www.sec.gov/Archives/edgar/data/1357874/000156459022023780/dtil-ex101_115.htm" TargetMode="External"/><Relationship Id="rId113" Type="http://schemas.openxmlformats.org/officeDocument/2006/relationships/hyperlink" Target="http://www.sec.gov/Archives/edgar/data/1357874/000156459022023780/dtil-ex102_61.htm" TargetMode="External"/><Relationship Id="rId114" Type="http://schemas.openxmlformats.org/officeDocument/2006/relationships/hyperlink" Target="http://www.sec.gov/Archives/edgar/data/1357874/000156459022023780/dtil-ex103_8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2022-08-08T06:24:21Z</dcterms:created>
  <dcterms:modified xsi:type="dcterms:W3CDTF">2022-08-08T06:24:21Z</dcterms:modified>
</cp:coreProperties>
</file>