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577215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602615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103"/>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82"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103"/>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7" w:lineRule="exact"/>
        <w:rPr>
          <w:sz w:val="24"/>
          <w:szCs w:val="24"/>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9" w:lineRule="exact"/>
        <w:rPr>
          <w:sz w:val="24"/>
          <w:szCs w:val="24"/>
          <w:color w:val="auto"/>
        </w:rPr>
      </w:pPr>
    </w:p>
    <w:p>
      <w:pPr>
        <w:ind w:left="1043" w:right="40" w:hanging="1014"/>
        <w:spacing w:after="0" w:line="275" w:lineRule="auto"/>
        <w:tabs>
          <w:tab w:leader="none" w:pos="1043" w:val="left"/>
        </w:tabs>
        <w:numPr>
          <w:ilvl w:val="0"/>
          <w:numId w:val="1"/>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66"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77"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963" w:right="600" w:hanging="963"/>
        <w:spacing w:after="0" w:line="275" w:lineRule="auto"/>
        <w:tabs>
          <w:tab w:leader="none" w:pos="963" w:val="left"/>
        </w:tabs>
        <w:numPr>
          <w:ilvl w:val="0"/>
          <w:numId w:val="2"/>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863"/>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90"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18"/>
          <w:szCs w:val="18"/>
          <w:b w:val="1"/>
          <w:bCs w:val="1"/>
          <w:color w:val="auto"/>
        </w:rPr>
        <w:t>Commission File Number: 001-38841</w:t>
      </w:r>
    </w:p>
    <w:p>
      <w:pPr>
        <w:spacing w:after="0" w:line="31" w:lineRule="exact"/>
        <w:rPr>
          <w:sz w:val="24"/>
          <w:szCs w:val="24"/>
          <w:color w:val="auto"/>
        </w:rPr>
      </w:pPr>
    </w:p>
    <w:p>
      <w:pPr>
        <w:ind w:left="3103"/>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63"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40"/>
          <w:szCs w:val="40"/>
          <w:b w:val="1"/>
          <w:bCs w:val="1"/>
          <w:color w:val="auto"/>
        </w:rPr>
        <w:t>Precision BioSciences, Inc.</w:t>
      </w:r>
    </w:p>
    <w:p>
      <w:pPr>
        <w:spacing w:after="0" w:line="54"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103"/>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22" w:lineRule="exact"/>
        <w:rPr>
          <w:sz w:val="24"/>
          <w:szCs w:val="24"/>
          <w:color w:val="auto"/>
        </w:rPr>
      </w:pPr>
    </w:p>
    <w:tbl>
      <w:tblPr>
        <w:tblLayout w:type="fixed"/>
        <w:tblInd w:w="1483" w:type="dxa"/>
        <w:tblCellMar>
          <w:top w:w="0" w:type="dxa"/>
          <w:left w:w="0" w:type="dxa"/>
          <w:bottom w:w="0" w:type="dxa"/>
          <w:right w:w="0" w:type="dxa"/>
        </w:tblCellMar>
      </w:tblPr>
      <w:tr>
        <w:trPr>
          <w:trHeight w:val="238"/>
        </w:trPr>
        <w:tc>
          <w:tcPr>
            <w:tcW w:w="6080" w:type="dxa"/>
            <w:vAlign w:val="bottom"/>
          </w:tcPr>
          <w:p>
            <w:pPr>
              <w:jc w:val="center"/>
              <w:ind w:right="33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20-4206017</w:t>
            </w:r>
          </w:p>
        </w:tc>
      </w:tr>
      <w:tr>
        <w:trPr>
          <w:trHeight w:val="218"/>
        </w:trPr>
        <w:tc>
          <w:tcPr>
            <w:tcW w:w="6080" w:type="dxa"/>
            <w:vAlign w:val="bottom"/>
          </w:tcPr>
          <w:p>
            <w:pPr>
              <w:jc w:val="center"/>
              <w:ind w:right="332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80" w:type="dxa"/>
            <w:vAlign w:val="bottom"/>
          </w:tcPr>
          <w:p>
            <w:pPr>
              <w:jc w:val="center"/>
              <w:ind w:right="33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6080" w:type="dxa"/>
            <w:vAlign w:val="bottom"/>
          </w:tcPr>
          <w:p>
            <w:pPr>
              <w:jc w:val="center"/>
              <w:ind w:right="3322"/>
              <w:spacing w:after="0"/>
              <w:rPr>
                <w:sz w:val="20"/>
                <w:szCs w:val="20"/>
                <w:color w:val="auto"/>
              </w:rPr>
            </w:pPr>
            <w:r>
              <w:rPr>
                <w:rFonts w:ascii="Times New Roman" w:cs="Times New Roman" w:eastAsia="Times New Roman" w:hAnsi="Times New Roman"/>
                <w:sz w:val="18"/>
                <w:szCs w:val="18"/>
                <w:b w:val="1"/>
                <w:bCs w:val="1"/>
                <w:color w:val="auto"/>
              </w:rPr>
              <w:t>302 East Pettigrew St., Suite A-100</w:t>
            </w:r>
          </w:p>
        </w:tc>
        <w:tc>
          <w:tcPr>
            <w:tcW w:w="1440" w:type="dxa"/>
            <w:vAlign w:val="bottom"/>
          </w:tcPr>
          <w:p>
            <w:pPr>
              <w:spacing w:after="0"/>
              <w:rPr>
                <w:sz w:val="23"/>
                <w:szCs w:val="23"/>
                <w:color w:val="auto"/>
              </w:rPr>
            </w:pPr>
          </w:p>
        </w:tc>
      </w:tr>
      <w:tr>
        <w:trPr>
          <w:trHeight w:val="238"/>
        </w:trPr>
        <w:tc>
          <w:tcPr>
            <w:tcW w:w="6080" w:type="dxa"/>
            <w:vAlign w:val="bottom"/>
          </w:tcPr>
          <w:p>
            <w:pPr>
              <w:jc w:val="center"/>
              <w:ind w:right="3322"/>
              <w:spacing w:after="0"/>
              <w:rPr>
                <w:sz w:val="20"/>
                <w:szCs w:val="20"/>
                <w:color w:val="auto"/>
              </w:rPr>
            </w:pPr>
            <w:r>
              <w:rPr>
                <w:rFonts w:ascii="Times New Roman" w:cs="Times New Roman" w:eastAsia="Times New Roman" w:hAnsi="Times New Roman"/>
                <w:sz w:val="18"/>
                <w:szCs w:val="18"/>
                <w:b w:val="1"/>
                <w:bCs w:val="1"/>
                <w:color w:val="auto"/>
                <w:w w:val="99"/>
              </w:rPr>
              <w:t>Durham, North Carolina</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27701</w:t>
            </w:r>
          </w:p>
        </w:tc>
      </w:tr>
      <w:tr>
        <w:trPr>
          <w:trHeight w:val="233"/>
        </w:trPr>
        <w:tc>
          <w:tcPr>
            <w:tcW w:w="6080" w:type="dxa"/>
            <w:vAlign w:val="bottom"/>
          </w:tcPr>
          <w:p>
            <w:pPr>
              <w:jc w:val="center"/>
              <w:ind w:right="334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6"/>
        </w:trPr>
        <w:tc>
          <w:tcPr>
            <w:tcW w:w="6080" w:type="dxa"/>
            <w:vAlign w:val="bottom"/>
          </w:tcPr>
          <w:p>
            <w:pPr>
              <w:jc w:val="center"/>
              <w:ind w:left="2142"/>
              <w:spacing w:after="0"/>
              <w:rPr>
                <w:sz w:val="20"/>
                <w:szCs w:val="20"/>
                <w:color w:val="auto"/>
              </w:rPr>
            </w:pPr>
            <w:r>
              <w:rPr>
                <w:rFonts w:ascii="Times New Roman" w:cs="Times New Roman" w:eastAsia="Times New Roman" w:hAnsi="Times New Roman"/>
                <w:sz w:val="14"/>
                <w:szCs w:val="14"/>
                <w:b w:val="1"/>
                <w:bCs w:val="1"/>
                <w:color w:val="auto"/>
              </w:rPr>
              <w:t>(919) 314-5512</w:t>
            </w:r>
          </w:p>
        </w:tc>
        <w:tc>
          <w:tcPr>
            <w:tcW w:w="1440" w:type="dxa"/>
            <w:vAlign w:val="bottom"/>
          </w:tcPr>
          <w:p>
            <w:pPr>
              <w:spacing w:after="0"/>
              <w:rPr>
                <w:sz w:val="24"/>
                <w:szCs w:val="24"/>
                <w:color w:val="auto"/>
              </w:rPr>
            </w:pPr>
          </w:p>
        </w:tc>
      </w:tr>
      <w:tr>
        <w:trPr>
          <w:trHeight w:val="190"/>
        </w:trPr>
        <w:tc>
          <w:tcPr>
            <w:tcW w:w="6080" w:type="dxa"/>
            <w:vAlign w:val="bottom"/>
          </w:tcPr>
          <w:p>
            <w:pPr>
              <w:jc w:val="center"/>
              <w:ind w:left="212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r>
      <w:tr>
        <w:trPr>
          <w:trHeight w:val="246"/>
        </w:trPr>
        <w:tc>
          <w:tcPr>
            <w:tcW w:w="6080" w:type="dxa"/>
            <w:vAlign w:val="bottom"/>
          </w:tcPr>
          <w:p>
            <w:pPr>
              <w:jc w:val="center"/>
              <w:ind w:left="2122"/>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440" w:type="dxa"/>
            <w:vAlign w:val="bottom"/>
          </w:tcPr>
          <w:p>
            <w:pPr>
              <w:spacing w:after="0"/>
              <w:rPr>
                <w:sz w:val="21"/>
                <w:szCs w:val="21"/>
                <w:color w:val="auto"/>
              </w:rPr>
            </w:pPr>
          </w:p>
        </w:tc>
      </w:tr>
    </w:tbl>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3103"/>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71" w:lineRule="exact"/>
        <w:rPr>
          <w:sz w:val="24"/>
          <w:szCs w:val="24"/>
          <w:color w:val="auto"/>
        </w:rPr>
      </w:pPr>
    </w:p>
    <w:p>
      <w:pPr>
        <w:jc w:val="center"/>
        <w:ind w:right="-22"/>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89" w:lineRule="exact"/>
        <w:rPr>
          <w:sz w:val="24"/>
          <w:szCs w:val="24"/>
          <w:color w:val="auto"/>
        </w:rPr>
      </w:pPr>
    </w:p>
    <w:tbl>
      <w:tblPr>
        <w:tblLayout w:type="fixed"/>
        <w:tblInd w:w="3" w:type="dxa"/>
        <w:tblCellMar>
          <w:top w:w="0" w:type="dxa"/>
          <w:left w:w="0" w:type="dxa"/>
          <w:bottom w:w="0" w:type="dxa"/>
          <w:right w:w="0" w:type="dxa"/>
        </w:tblCellMar>
      </w:tblPr>
      <w:tr>
        <w:trPr>
          <w:trHeight w:val="225"/>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7"/>
        </w:trPr>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$0.000005 per share</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DTIL</w:t>
            </w:r>
          </w:p>
        </w:tc>
        <w:tc>
          <w:tcPr>
            <w:tcW w:w="4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Capital Market</w:t>
            </w:r>
          </w:p>
        </w:tc>
      </w:tr>
    </w:tbl>
    <w:p>
      <w:pPr>
        <w:spacing w:after="0" w:line="141" w:lineRule="exact"/>
        <w:rPr>
          <w:sz w:val="24"/>
          <w:szCs w:val="24"/>
          <w:color w:val="auto"/>
        </w:rPr>
      </w:pPr>
    </w:p>
    <w:p>
      <w:pPr>
        <w:ind w:left="3" w:right="20" w:firstLine="648"/>
        <w:spacing w:after="0" w:line="26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43" w:lineRule="exact"/>
        <w:rPr>
          <w:sz w:val="24"/>
          <w:szCs w:val="24"/>
          <w:color w:val="auto"/>
        </w:rPr>
      </w:pPr>
    </w:p>
    <w:p>
      <w:pPr>
        <w:ind w:left="3" w:right="2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3" w:right="80" w:firstLine="648"/>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9" w:lineRule="exact"/>
        <w:rPr>
          <w:sz w:val="24"/>
          <w:szCs w:val="24"/>
          <w:color w:val="auto"/>
        </w:rPr>
      </w:pPr>
    </w:p>
    <w:tbl>
      <w:tblPr>
        <w:tblLayout w:type="fixed"/>
        <w:tblInd w:w="23" w:type="dxa"/>
        <w:tblCellMar>
          <w:top w:w="0" w:type="dxa"/>
          <w:left w:w="0" w:type="dxa"/>
          <w:bottom w:w="0" w:type="dxa"/>
          <w:right w:w="0" w:type="dxa"/>
        </w:tblCellMar>
      </w:tblP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20" w:type="dxa"/>
            <w:vAlign w:val="bottom"/>
          </w:tcPr>
          <w:p>
            <w:pPr>
              <w:jc w:val="right"/>
              <w:ind w:right="2259"/>
              <w:spacing w:after="0"/>
              <w:rPr>
                <w:sz w:val="20"/>
                <w:szCs w:val="20"/>
                <w:color w:val="auto"/>
              </w:rPr>
            </w:pPr>
            <w:r>
              <w:rPr>
                <w:rFonts w:ascii="Wingdings" w:cs="Wingdings" w:eastAsia="Wingdings" w:hAnsi="Wingdings"/>
                <w:sz w:val="16"/>
                <w:szCs w:val="16"/>
                <w:b w:val="1"/>
                <w:bCs w:val="1"/>
                <w:color w:val="auto"/>
              </w:rPr>
              <w:t>o</w:t>
            </w:r>
          </w:p>
        </w:tc>
        <w:tc>
          <w:tcPr>
            <w:tcW w:w="458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Accelerated filer</w:t>
            </w:r>
          </w:p>
        </w:tc>
        <w:tc>
          <w:tcPr>
            <w:tcW w:w="880" w:type="dxa"/>
            <w:vAlign w:val="bottom"/>
          </w:tcPr>
          <w:p>
            <w:pPr>
              <w:jc w:val="right"/>
              <w:spacing w:after="0"/>
              <w:rPr>
                <w:sz w:val="20"/>
                <w:szCs w:val="20"/>
                <w:color w:val="auto"/>
              </w:rPr>
            </w:pPr>
            <w:r>
              <w:rPr>
                <w:rFonts w:ascii="Wingdings" w:cs="Wingdings" w:eastAsia="Wingdings" w:hAnsi="Wingdings"/>
                <w:sz w:val="16"/>
                <w:szCs w:val="16"/>
                <w:b w:val="1"/>
                <w:bCs w:val="1"/>
                <w:color w:val="auto"/>
              </w:rPr>
              <w:t>o</w:t>
            </w:r>
          </w:p>
        </w:tc>
      </w:tr>
      <w:tr>
        <w:trPr>
          <w:trHeight w:val="526"/>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20" w:type="dxa"/>
            <w:vAlign w:val="bottom"/>
          </w:tcPr>
          <w:p>
            <w:pPr>
              <w:jc w:val="right"/>
              <w:ind w:right="2259"/>
              <w:spacing w:after="0"/>
              <w:rPr>
                <w:sz w:val="20"/>
                <w:szCs w:val="20"/>
                <w:color w:val="auto"/>
              </w:rPr>
            </w:pPr>
            <w:r>
              <w:rPr>
                <w:rFonts w:ascii="Wingdings" w:cs="Wingdings" w:eastAsia="Wingdings" w:hAnsi="Wingdings"/>
                <w:sz w:val="16"/>
                <w:szCs w:val="16"/>
                <w:b w:val="1"/>
                <w:bCs w:val="1"/>
                <w:color w:val="auto"/>
              </w:rPr>
              <w:t>x</w:t>
            </w:r>
          </w:p>
        </w:tc>
        <w:tc>
          <w:tcPr>
            <w:tcW w:w="458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80" w:type="dxa"/>
            <w:vAlign w:val="bottom"/>
          </w:tcPr>
          <w:p>
            <w:pPr>
              <w:jc w:val="right"/>
              <w:spacing w:after="0"/>
              <w:rPr>
                <w:sz w:val="20"/>
                <w:szCs w:val="20"/>
                <w:color w:val="auto"/>
              </w:rPr>
            </w:pPr>
            <w:r>
              <w:rPr>
                <w:rFonts w:ascii="Wingdings" w:cs="Wingdings" w:eastAsia="Wingdings" w:hAnsi="Wingdings"/>
                <w:sz w:val="16"/>
                <w:szCs w:val="16"/>
                <w:b w:val="1"/>
                <w:bCs w:val="1"/>
                <w:color w:val="auto"/>
              </w:rPr>
              <w:t>x</w:t>
            </w:r>
          </w:p>
        </w:tc>
      </w:tr>
      <w:tr>
        <w:trPr>
          <w:trHeight w:val="256"/>
        </w:trPr>
        <w:tc>
          <w:tcPr>
            <w:tcW w:w="2280" w:type="dxa"/>
            <w:vAlign w:val="bottom"/>
          </w:tcPr>
          <w:p>
            <w:pPr>
              <w:spacing w:after="0"/>
              <w:rPr>
                <w:sz w:val="22"/>
                <w:szCs w:val="22"/>
                <w:color w:val="auto"/>
              </w:rPr>
            </w:pPr>
          </w:p>
        </w:tc>
        <w:tc>
          <w:tcPr>
            <w:tcW w:w="3320" w:type="dxa"/>
            <w:vAlign w:val="bottom"/>
          </w:tcPr>
          <w:p>
            <w:pPr>
              <w:jc w:val="right"/>
              <w:ind w:right="2019"/>
              <w:spacing w:after="0"/>
              <w:rPr>
                <w:sz w:val="20"/>
                <w:szCs w:val="20"/>
                <w:color w:val="auto"/>
              </w:rPr>
            </w:pPr>
            <w:r>
              <w:rPr>
                <w:rFonts w:ascii="Times New Roman" w:cs="Times New Roman" w:eastAsia="Times New Roman" w:hAnsi="Times New Roman"/>
                <w:sz w:val="16"/>
                <w:szCs w:val="16"/>
                <w:b w:val="1"/>
                <w:bCs w:val="1"/>
                <w:color w:val="auto"/>
              </w:rPr>
              <w:t>.</w:t>
            </w:r>
          </w:p>
        </w:tc>
        <w:tc>
          <w:tcPr>
            <w:tcW w:w="458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880" w:type="dxa"/>
            <w:vAlign w:val="bottom"/>
          </w:tcPr>
          <w:p>
            <w:pPr>
              <w:jc w:val="right"/>
              <w:spacing w:after="0"/>
              <w:rPr>
                <w:sz w:val="20"/>
                <w:szCs w:val="20"/>
                <w:color w:val="auto"/>
              </w:rPr>
            </w:pPr>
            <w:r>
              <w:rPr>
                <w:rFonts w:ascii="Wingdings" w:cs="Wingdings" w:eastAsia="Wingdings" w:hAnsi="Wingdings"/>
                <w:sz w:val="16"/>
                <w:szCs w:val="16"/>
                <w:b w:val="1"/>
                <w:bCs w:val="1"/>
                <w:color w:val="auto"/>
              </w:rPr>
              <w:t>o</w:t>
            </w:r>
          </w:p>
        </w:tc>
      </w:tr>
    </w:tbl>
    <w:p>
      <w:pPr>
        <w:spacing w:after="0" w:line="168" w:lineRule="exact"/>
        <w:rPr>
          <w:sz w:val="24"/>
          <w:szCs w:val="24"/>
          <w:color w:val="auto"/>
        </w:rPr>
      </w:pPr>
    </w:p>
    <w:p>
      <w:pPr>
        <w:ind w:left="3" w:right="42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ectPr>
          <w:pgSz w:w="11900" w:h="16861" w:orient="portrait"/>
          <w:cols w:equalWidth="0" w:num="1">
            <w:col w:w="11223"/>
          </w:cols>
          <w:pgMar w:left="317" w:top="225" w:right="359" w:bottom="0" w:gutter="0" w:footer="0" w:header="0"/>
        </w:sectPr>
      </w:pPr>
    </w:p>
    <w:bookmarkStart w:id="1" w:name="page2"/>
    <w:bookmarkEnd w:id="1"/>
    <w:p>
      <w:pPr>
        <w:ind w:right="979"/>
        <w:spacing w:after="0" w:line="38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October 29, 2026, the registrant had 27,935,719 shares of common stock, $0.000005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846455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190500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215900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12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80" w:type="dxa"/>
            <w:vAlign w:val="bottom"/>
            <w:gridSpan w:val="5"/>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400" w:type="dxa"/>
            <w:vAlign w:val="bottom"/>
          </w:tcPr>
          <w:p>
            <w:pPr>
              <w:spacing w:after="0"/>
              <w:rPr>
                <w:sz w:val="3"/>
                <w:szCs w:val="3"/>
                <w:color w:val="auto"/>
              </w:rPr>
            </w:pPr>
          </w:p>
        </w:tc>
        <w:tc>
          <w:tcPr>
            <w:tcW w:w="21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Forward-Looking Statements</w:t>
            </w: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2120" w:type="dxa"/>
            <w:vAlign w:val="bottom"/>
            <w:tcBorders>
              <w:bottom w:val="single" w:sz="8" w:color="0000FF"/>
            </w:tcBorders>
            <w:gridSpan w:val="9"/>
            <w:vMerge w:val="continue"/>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7"/>
        </w:trPr>
        <w:tc>
          <w:tcPr>
            <w:tcW w:w="1400" w:type="dxa"/>
            <w:vAlign w:val="bottom"/>
          </w:tcPr>
          <w:p>
            <w:pPr>
              <w:spacing w:after="0"/>
              <w:rPr>
                <w:sz w:val="24"/>
                <w:szCs w:val="24"/>
                <w:color w:val="auto"/>
              </w:rPr>
            </w:pPr>
          </w:p>
        </w:tc>
        <w:tc>
          <w:tcPr>
            <w:tcW w:w="8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vMerge w:val="continue"/>
          </w:tcPr>
          <w:p>
            <w:pPr>
              <w:spacing w:after="0"/>
              <w:rPr>
                <w:sz w:val="22"/>
                <w:szCs w:val="22"/>
                <w:color w:val="auto"/>
              </w:rPr>
            </w:pPr>
          </w:p>
        </w:tc>
        <w:tc>
          <w:tcPr>
            <w:tcW w:w="2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220" w:type="dxa"/>
            <w:vAlign w:val="bottom"/>
            <w:gridSpan w:val="10"/>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1400" w:type="dxa"/>
            <w:vAlign w:val="bottom"/>
          </w:tcPr>
          <w:p>
            <w:pPr>
              <w:spacing w:after="0"/>
              <w:rPr>
                <w:sz w:val="22"/>
                <w:szCs w:val="22"/>
                <w:color w:val="auto"/>
              </w:rPr>
            </w:pPr>
          </w:p>
        </w:tc>
        <w:tc>
          <w:tcPr>
            <w:tcW w:w="23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Condensed Balance Sheets</w:t>
            </w:r>
          </w:p>
        </w:tc>
        <w:tc>
          <w:tcPr>
            <w:tcW w:w="6100" w:type="dxa"/>
            <w:vAlign w:val="bottom"/>
            <w:gridSpan w:val="8"/>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0" w:type="dxa"/>
            <w:vAlign w:val="bottom"/>
          </w:tcPr>
          <w:p>
            <w:pPr>
              <w:spacing w:after="0"/>
              <w:rPr>
                <w:sz w:val="22"/>
                <w:szCs w:val="22"/>
                <w:color w:val="auto"/>
              </w:rPr>
            </w:pPr>
          </w:p>
        </w:tc>
        <w:tc>
          <w:tcPr>
            <w:tcW w:w="8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Statements of Operations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0" w:type="dxa"/>
            <w:vAlign w:val="bottom"/>
          </w:tcPr>
          <w:p>
            <w:pPr>
              <w:spacing w:after="0"/>
              <w:rPr>
                <w:sz w:val="22"/>
                <w:szCs w:val="22"/>
                <w:color w:val="auto"/>
              </w:rPr>
            </w:pPr>
          </w:p>
        </w:tc>
        <w:tc>
          <w:tcPr>
            <w:tcW w:w="42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Statements of Changes in Stockholders’ Equity</w:t>
            </w:r>
          </w:p>
        </w:tc>
        <w:tc>
          <w:tcPr>
            <w:tcW w:w="4220" w:type="dxa"/>
            <w:vAlign w:val="bottom"/>
            <w:gridSpan w:val="4"/>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8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Statements of Cash Flows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tcPr>
          <w:p>
            <w:pPr>
              <w:spacing w:after="0"/>
              <w:rPr>
                <w:sz w:val="22"/>
                <w:szCs w:val="22"/>
                <w:color w:val="auto"/>
              </w:rPr>
            </w:pPr>
          </w:p>
        </w:tc>
        <w:tc>
          <w:tcPr>
            <w:tcW w:w="8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Financial Statements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0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11"/>
          </w:tcPr>
          <w:p>
            <w:pPr>
              <w:spacing w:after="0"/>
              <w:rPr>
                <w:sz w:val="22"/>
                <w:szCs w:val="22"/>
                <w:color w:val="auto"/>
              </w:rPr>
            </w:pPr>
          </w:p>
        </w:tc>
        <w:tc>
          <w:tcPr>
            <w:tcW w:w="4120" w:type="dxa"/>
            <w:vAlign w:val="bottom"/>
            <w:gridSpan w:val="2"/>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6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00" w:type="dxa"/>
            <w:vAlign w:val="bottom"/>
            <w:tcBorders>
              <w:top w:val="single" w:sz="8" w:color="0000FF"/>
            </w:tcBorders>
            <w:gridSpan w:val="3"/>
          </w:tcPr>
          <w:p>
            <w:pPr>
              <w:spacing w:after="0"/>
              <w:rPr>
                <w:sz w:val="22"/>
                <w:szCs w:val="22"/>
                <w:color w:val="auto"/>
              </w:rPr>
            </w:pPr>
          </w:p>
        </w:tc>
        <w:tc>
          <w:tcPr>
            <w:tcW w:w="6540" w:type="dxa"/>
            <w:vAlign w:val="bottom"/>
            <w:gridSpan w:val="12"/>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6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6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140" w:type="dxa"/>
            <w:vAlign w:val="bottom"/>
            <w:gridSpan w:val="3"/>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6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22"/>
                <w:szCs w:val="22"/>
                <w:color w:val="auto"/>
              </w:rPr>
            </w:pPr>
          </w:p>
        </w:tc>
        <w:tc>
          <w:tcPr>
            <w:tcW w:w="6160" w:type="dxa"/>
            <w:vAlign w:val="bottom"/>
            <w:gridSpan w:val="9"/>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160" w:type="dxa"/>
            <w:vAlign w:val="bottom"/>
            <w:gridSpan w:val="16"/>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6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20" w:type="dxa"/>
            <w:vAlign w:val="bottom"/>
            <w:gridSpan w:val="18"/>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0" w:type="dxa"/>
            <w:vAlign w:val="bottom"/>
          </w:tcPr>
          <w:p>
            <w:pPr>
              <w:spacing w:after="0"/>
              <w:rPr>
                <w:sz w:val="22"/>
                <w:szCs w:val="22"/>
                <w:color w:val="auto"/>
              </w:rPr>
            </w:pPr>
          </w:p>
        </w:tc>
        <w:tc>
          <w:tcPr>
            <w:tcW w:w="8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736"/>
        </w:trPr>
        <w:tc>
          <w:tcPr>
            <w:tcW w:w="140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3580" w:type="dxa"/>
            <w:vAlign w:val="bottom"/>
            <w:gridSpan w:val="15"/>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facts contained in this Quarterly Report on Form 10-Q, including, without limitation, statements regarding our future results of operations and financial position, business strategy and approach, including related results, prospective products, use and development of licensed products, planned preclinical studies and clinical trials, or discontinuance thereof, the status and results of our preclinical studies, expected release of interim data, expectations regarding the use and effects of ARCUS, including in connection with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genome editing, collaborations and potential new partnerships or alternative opportunities for our product candidates, potential new application filings and regulatory approvals, research and development costs, timing, expected results and likelihood of success, as well as plans and objectives of management for future operations may be forward-looking statements. 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9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II. Item 1A. “Risk Factors” and Part I. Item 2. “Management’s Discussion and Analysis of Financial Condition and Results of Operations.” These risks and uncertainties include, but are not limited to:</w:t>
      </w:r>
    </w:p>
    <w:p>
      <w:pPr>
        <w:spacing w:after="0" w:line="7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become profitable;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sufficient funding to advance our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raising additional capital and requirements under our current debt instruments and effects of restrictions thereunder;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expenses and our ability to predict what those expenses will be;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programs and product candidates in which we expend our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ability or inability to assess the safety and efficacy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other genome-editing technologies may provide significant advantages over our ARCUS technology;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ARCUS technology;</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achievement of milestones and results of research and development activities and preclinical and clinical studies;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about genome editing technology and its applications;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genome editing, biopharmaceutical, and biotechnology fields;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ability to identify, develop and commercialize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lawsuits and penalties against us or our collaborators related to our technology and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foreign regulatory landscape applicable to our and our collaborators’ development of product candidates;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or other licensees’ ability to advance product candidates into, and successfully design, implement and complete clinical trials;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manufacturing problems associated with the development or commercialization of any of our product candidates;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our or our collaborators’ ability to enroll patients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early clinical trials of product candidates may not be predictive of results of later studies or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interim “top-line” and initial data that we announce or publish;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 candidates do not work as intended or cause undesirable side effects;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applicable healthcare, data protection, privacy and security regulations and our compliance therewith;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system failures, cyber-attacks, and security breaches;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orphan drug designation, fast track designation, rare pediatric disease designation, or a priority review voucher for our product candidates, or to realize the expected benefits of these designations;</w:t>
      </w:r>
    </w:p>
    <w:p>
      <w:pPr>
        <w:spacing w:after="0" w:line="5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ability to obtain and maintain regulatory approval of our product candidates, and any related restrictions, limitations and/or warnings in the label of an approved product candidate;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growth of our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executives and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expenses and exposure to uninsured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tax rules;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 or other licensees’ agreements and our ability to enter into new collaboration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relationships with and reliance on third parties including suppliers and manufacturers;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technology and any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relating to infringement or misappropriation of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natural and man-made disasters, public health emergencies and other natural catastrophic events;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sustained inflation, supply chain disruptions and major central bank policy 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ownership of our common stock, including fluctuations in our stock price;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requirements of and maintain listing of our common stock on Nasdaq or other public stock exchanges.</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herein completely and with the understanding that our actual future results may be materially different from what we expect. We qualify all of our forward-looking statements by these cautionary statements. All forward-looking statements contained herein speak only as of the date of this Quarterly Report on Form 10-Q. Except as required by applicable law, we do not plan to publicly update or revise any forward-looking statements contained herein, whether as a result of any new information, future events, changed circumstances or otherwise.</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otherwise stated or the context requires otherwise, references to “Precision,” the “Company,” “we,” “us,” and “our,” refer to Precision BioSciences, Inc.</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 the following.</w:t>
      </w:r>
    </w:p>
    <w:p>
      <w:pPr>
        <w:spacing w:after="0" w:line="66" w:lineRule="exact"/>
        <w:rPr>
          <w:sz w:val="20"/>
          <w:szCs w:val="20"/>
          <w:color w:val="auto"/>
        </w:rPr>
      </w:pPr>
    </w:p>
    <w:p>
      <w:pPr>
        <w:ind w:left="660" w:right="30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incurred significant operating losses since our inception and expect to continue to incur losses for the foreseeable future. We have not been profitable and may not achieve or maintain profitability.</w:t>
      </w:r>
    </w:p>
    <w:p>
      <w:pPr>
        <w:spacing w:after="0" w:line="50" w:lineRule="exact"/>
        <w:rPr>
          <w:rFonts w:ascii="Times New Roman" w:cs="Times New Roman" w:eastAsia="Times New Roman" w:hAnsi="Times New Roman"/>
          <w:sz w:val="18"/>
          <w:szCs w:val="18"/>
          <w:color w:val="auto"/>
        </w:rPr>
      </w:pPr>
    </w:p>
    <w:p>
      <w:pPr>
        <w:jc w:val="both"/>
        <w:ind w:left="660" w:right="20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will need substantial additional funding, and if we are unable to raise a sufficient amount of capital when needed on acceptable terms, or at all, we may be forced to delay, reduce or eliminate some or all of our research programs, product development activities and commercialization efforts.</w:t>
      </w:r>
    </w:p>
    <w:p>
      <w:pPr>
        <w:spacing w:after="0" w:line="65" w:lineRule="exact"/>
        <w:rPr>
          <w:rFonts w:ascii="Times New Roman" w:cs="Times New Roman" w:eastAsia="Times New Roman" w:hAnsi="Times New Roman"/>
          <w:sz w:val="18"/>
          <w:szCs w:val="18"/>
          <w:color w:val="auto"/>
        </w:rPr>
      </w:pPr>
    </w:p>
    <w:p>
      <w:pPr>
        <w:ind w:left="660" w:right="30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a limited operating history, which makes it difficult to evaluate our current business and future prospects and may increase the risk of your investment.</w:t>
      </w:r>
    </w:p>
    <w:p>
      <w:pPr>
        <w:spacing w:after="0" w:line="50" w:lineRule="exact"/>
        <w:rPr>
          <w:rFonts w:ascii="Times New Roman" w:cs="Times New Roman" w:eastAsia="Times New Roman" w:hAnsi="Times New Roman"/>
          <w:sz w:val="18"/>
          <w:szCs w:val="18"/>
          <w:color w:val="auto"/>
        </w:rPr>
      </w:pPr>
    </w:p>
    <w:p>
      <w:pPr>
        <w:ind w:left="660" w:right="6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ARCUS is a novel technology, making it difficult to predict the time, cost and potential success of product candidate development. We have not yet been able to assess the safety and efficacy of most of our product candidates in humans.</w:t>
      </w:r>
    </w:p>
    <w:p>
      <w:pPr>
        <w:spacing w:after="0" w:line="50" w:lineRule="exact"/>
        <w:rPr>
          <w:rFonts w:ascii="Times New Roman" w:cs="Times New Roman" w:eastAsia="Times New Roman" w:hAnsi="Times New Roman"/>
          <w:sz w:val="18"/>
          <w:szCs w:val="18"/>
          <w:color w:val="auto"/>
        </w:rPr>
      </w:pPr>
    </w:p>
    <w:p>
      <w:pPr>
        <w:ind w:left="660" w:right="52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heavily dependent on the successful development and translation of ARCUS, and due to the early stages of our product development operations, we cannot give any assurance that any product candidates will be successfully developed and commercialized.</w:t>
      </w:r>
    </w:p>
    <w:p>
      <w:pPr>
        <w:spacing w:after="0" w:line="50" w:lineRule="exact"/>
        <w:rPr>
          <w:rFonts w:ascii="Times New Roman" w:cs="Times New Roman" w:eastAsia="Times New Roman" w:hAnsi="Times New Roman"/>
          <w:sz w:val="18"/>
          <w:szCs w:val="18"/>
          <w:color w:val="auto"/>
        </w:rPr>
      </w:pPr>
    </w:p>
    <w:p>
      <w:pPr>
        <w:ind w:left="660" w:right="280" w:hanging="328"/>
        <w:spacing w:after="0" w:line="284"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our product candidates do not achieve projected development milestones or commercialization in the announced or expected timeframes, the further development or commercialization of such product candidates may be delayed, and our business will be harmed.</w:t>
      </w:r>
    </w:p>
    <w:p>
      <w:pPr>
        <w:spacing w:after="0" w:line="50" w:lineRule="exact"/>
        <w:rPr>
          <w:rFonts w:ascii="Times New Roman" w:cs="Times New Roman" w:eastAsia="Times New Roman" w:hAnsi="Times New Roman"/>
          <w:sz w:val="18"/>
          <w:szCs w:val="18"/>
          <w:i w:val="1"/>
          <w:iCs w:val="1"/>
          <w:color w:val="auto"/>
        </w:rPr>
      </w:pPr>
    </w:p>
    <w:p>
      <w:pPr>
        <w:ind w:left="660" w:right="56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public perception of genome editing may negatively impact the developmental progress or commercial success of products that we develop alone or with collaborators.</w:t>
      </w:r>
    </w:p>
    <w:p>
      <w:pPr>
        <w:spacing w:after="0" w:line="50" w:lineRule="exact"/>
        <w:rPr>
          <w:rFonts w:ascii="Times New Roman" w:cs="Times New Roman" w:eastAsia="Times New Roman" w:hAnsi="Times New Roman"/>
          <w:sz w:val="18"/>
          <w:szCs w:val="18"/>
          <w:color w:val="auto"/>
        </w:rPr>
      </w:pPr>
    </w:p>
    <w:p>
      <w:pPr>
        <w:ind w:left="660" w:right="6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face significant competition in industries experiencing rapid technological change, and there is a possibility that our competitors may achieve regulatory approval before us or develop product candidates or treatments that are safer or more effective than ours, which may harm our financial condition and our ability to successfully market or commercialize any of our product candidates.</w:t>
      </w:r>
    </w:p>
    <w:p>
      <w:pPr>
        <w:spacing w:after="0" w:line="65" w:lineRule="exact"/>
        <w:rPr>
          <w:rFonts w:ascii="Times New Roman" w:cs="Times New Roman" w:eastAsia="Times New Roman" w:hAnsi="Times New Roman"/>
          <w:sz w:val="18"/>
          <w:szCs w:val="18"/>
          <w:color w:val="auto"/>
        </w:rPr>
      </w:pPr>
    </w:p>
    <w:p>
      <w:pPr>
        <w:ind w:left="660" w:right="6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future profitability, if any, will depend in part on our ability and the ability of our collaborators to commercialize any products that we or our collaborators may develop in markets throughout the world. Commercialization of products in various markets could subject us to risks and uncertainties.</w:t>
      </w:r>
    </w:p>
    <w:p>
      <w:pPr>
        <w:spacing w:after="0" w:line="65" w:lineRule="exact"/>
        <w:rPr>
          <w:rFonts w:ascii="Times New Roman" w:cs="Times New Roman" w:eastAsia="Times New Roman" w:hAnsi="Times New Roman"/>
          <w:sz w:val="18"/>
          <w:szCs w:val="18"/>
          <w:color w:val="auto"/>
        </w:rPr>
      </w:pPr>
    </w:p>
    <w:p>
      <w:pPr>
        <w:ind w:left="660" w:right="46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liability lawsuits against us could cause us to incur substantial liabilities and could limit commercialization of any products that we develop alone or with collaborators.</w:t>
      </w:r>
    </w:p>
    <w:p>
      <w:pPr>
        <w:spacing w:after="0" w:line="50" w:lineRule="exact"/>
        <w:rPr>
          <w:rFonts w:ascii="Times New Roman" w:cs="Times New Roman" w:eastAsia="Times New Roman" w:hAnsi="Times New Roman"/>
          <w:sz w:val="18"/>
          <w:szCs w:val="18"/>
          <w:color w:val="auto"/>
        </w:rPr>
      </w:pPr>
    </w:p>
    <w:p>
      <w:pPr>
        <w:ind w:left="660" w:right="30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landscape that will apply to development of therapeutic product candidates by us or our collaborators is rigorous, complex, uncertain and subject to change, which could result in delays or termination of development of such product candidates or unexpected costs in obtaining regulatory approvals.</w:t>
      </w:r>
    </w:p>
    <w:p>
      <w:pPr>
        <w:spacing w:after="0" w:line="65"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not be able to submit INDs to the FDA or CTAs to comparable foreign authorities to commence clinical trials on the timelines we expect, and even if we are able to, the FDA or comparable foreign authorities may not permit us to proceed.</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trials are difficult to design and implement, expensive, time-consuming and involve an uncertain outcome, and the inability to successfully and timely conduct clinical trials and obtain regulatory approval for our product candidates would substantially harm our business.</w:t>
      </w:r>
    </w:p>
    <w:p>
      <w:pPr>
        <w:spacing w:after="0" w:line="50" w:lineRule="exact"/>
        <w:rPr>
          <w:rFonts w:ascii="Times New Roman" w:cs="Times New Roman" w:eastAsia="Times New Roman" w:hAnsi="Times New Roman"/>
          <w:sz w:val="18"/>
          <w:szCs w:val="18"/>
          <w:color w:val="auto"/>
        </w:rPr>
      </w:pPr>
    </w:p>
    <w:p>
      <w:pPr>
        <w:ind w:left="660" w:right="52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product candidates that we or our collaborators or other licensees may develop will be novel and may be complex and difficult to manufacture, and if we experience manufacturing problems, it could result in delays in development and commercialization of such product candidates or otherwise harm our business.</w:t>
      </w:r>
    </w:p>
    <w:p>
      <w:pPr>
        <w:spacing w:after="0" w:line="65" w:lineRule="exact"/>
        <w:rPr>
          <w:rFonts w:ascii="Times New Roman" w:cs="Times New Roman" w:eastAsia="Times New Roman" w:hAnsi="Times New Roman"/>
          <w:sz w:val="18"/>
          <w:szCs w:val="18"/>
          <w:color w:val="auto"/>
        </w:rPr>
      </w:pPr>
    </w:p>
    <w:p>
      <w:pPr>
        <w:ind w:left="660" w:right="560" w:hanging="328"/>
        <w:spacing w:after="0" w:line="284"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delays or difficulties in our or our collaborators’ ability to enroll patients in clinical trials could delay or prevent receipt of regulatory approvals.</w:t>
      </w:r>
    </w:p>
    <w:p>
      <w:pPr>
        <w:spacing w:after="0" w:line="50" w:lineRule="exact"/>
        <w:rPr>
          <w:rFonts w:ascii="Times New Roman" w:cs="Times New Roman" w:eastAsia="Times New Roman" w:hAnsi="Times New Roman"/>
          <w:sz w:val="18"/>
          <w:szCs w:val="18"/>
          <w:i w:val="1"/>
          <w:iCs w:val="1"/>
          <w:color w:val="auto"/>
        </w:rPr>
      </w:pPr>
    </w:p>
    <w:p>
      <w:pPr>
        <w:ind w:left="660" w:right="140" w:hanging="328"/>
        <w:spacing w:after="0" w:line="284"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Results of preclinical studies and early clinical trials of product candidates may not be predictive of results of later studies or trials. Our product candidates may not have favorable results in later clinical trials, if any, or receive regulatory approval.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line="284"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business and operations may suffer in the event of information technology system failures, cyber-attacks or deficiencies in our security, which could materially affect our results.</w:t>
      </w:r>
    </w:p>
    <w:p>
      <w:pPr>
        <w:spacing w:after="0" w:line="50" w:lineRule="exact"/>
        <w:rPr>
          <w:rFonts w:ascii="Times New Roman" w:cs="Times New Roman" w:eastAsia="Times New Roman" w:hAnsi="Times New Roman"/>
          <w:sz w:val="18"/>
          <w:szCs w:val="18"/>
          <w:i w:val="1"/>
          <w:iCs w:val="1"/>
          <w:color w:val="auto"/>
        </w:rPr>
      </w:pPr>
    </w:p>
    <w:p>
      <w:pPr>
        <w:ind w:left="660" w:right="4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 if we obtain regulatory approval for any products that we develop alone or with collaborators, such products will remain subject to ongoing regulatory requirements, which may result in significant additional expense.</w:t>
      </w:r>
    </w:p>
    <w:p>
      <w:pPr>
        <w:spacing w:after="0" w:line="50" w:lineRule="exact"/>
        <w:rPr>
          <w:rFonts w:ascii="Times New Roman" w:cs="Times New Roman" w:eastAsia="Times New Roman" w:hAnsi="Times New Roman"/>
          <w:sz w:val="18"/>
          <w:szCs w:val="18"/>
          <w:color w:val="auto"/>
        </w:rPr>
      </w:pPr>
    </w:p>
    <w:p>
      <w:pPr>
        <w:ind w:left="660" w:right="20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 if any product we develop alone or with collaborators receives marketing approval, such product may fail to achieve the degree of market acceptance by physicians, patients, healthcare payors and others in the medical community necessary for commercial success.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future success depends on our key executives, as well as attracting, retaining and motivating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failure to meet the continued listing requirements of The Nasdaq Capital Market could result in the delisting of our common stock.</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PRECISION BIOSCIENCES,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September 30, 2026</w:t>
            </w:r>
          </w:p>
        </w:tc>
        <w:tc>
          <w:tcPr>
            <w:tcW w:w="240" w:type="dxa"/>
            <w:vAlign w:val="bottom"/>
          </w:tcPr>
          <w:p>
            <w:pPr>
              <w:spacing w:after="0"/>
              <w:rPr>
                <w:sz w:val="17"/>
                <w:szCs w:val="17"/>
                <w:color w:val="auto"/>
              </w:rPr>
            </w:pPr>
          </w:p>
        </w:tc>
        <w:tc>
          <w:tcPr>
            <w:tcW w:w="178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0" w:type="dxa"/>
            <w:vAlign w:val="bottom"/>
          </w:tcPr>
          <w:p>
            <w:pPr>
              <w:spacing w:after="0"/>
              <w:rPr>
                <w:sz w:val="1"/>
                <w:szCs w:val="1"/>
                <w:color w:val="auto"/>
              </w:rPr>
            </w:pPr>
          </w:p>
        </w:tc>
      </w:tr>
      <w:tr>
        <w:trPr>
          <w:trHeight w:val="35"/>
        </w:trPr>
        <w:tc>
          <w:tcPr>
            <w:tcW w:w="68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6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81,698</w:t>
            </w: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110,823</w:t>
            </w:r>
          </w:p>
        </w:tc>
        <w:tc>
          <w:tcPr>
            <w:tcW w:w="0" w:type="dxa"/>
            <w:vAlign w:val="bottom"/>
          </w:tcPr>
          <w:p>
            <w:pPr>
              <w:spacing w:after="0"/>
              <w:rPr>
                <w:sz w:val="1"/>
                <w:szCs w:val="1"/>
                <w:color w:val="auto"/>
              </w:rPr>
            </w:pPr>
          </w:p>
        </w:tc>
      </w:tr>
      <w:tr>
        <w:trPr>
          <w:trHeight w:val="221"/>
        </w:trPr>
        <w:tc>
          <w:tcPr>
            <w:tcW w:w="68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Accounts receivable</w:t>
            </w:r>
          </w:p>
        </w:tc>
        <w:tc>
          <w:tcPr>
            <w:tcW w:w="240" w:type="dxa"/>
            <w:vAlign w:val="bottom"/>
          </w:tcPr>
          <w:p>
            <w:pPr>
              <w:spacing w:after="0"/>
              <w:rPr>
                <w:sz w:val="19"/>
                <w:szCs w:val="19"/>
                <w:color w:val="auto"/>
              </w:rPr>
            </w:pPr>
          </w:p>
        </w:tc>
        <w:tc>
          <w:tcPr>
            <w:tcW w:w="2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5"/>
        </w:trPr>
        <w:tc>
          <w:tcPr>
            <w:tcW w:w="6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148</w:t>
            </w: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4,762</w:t>
            </w:r>
          </w:p>
        </w:tc>
        <w:tc>
          <w:tcPr>
            <w:tcW w:w="0" w:type="dxa"/>
            <w:vAlign w:val="bottom"/>
          </w:tcPr>
          <w:p>
            <w:pPr>
              <w:spacing w:after="0"/>
              <w:rPr>
                <w:sz w:val="1"/>
                <w:szCs w:val="1"/>
                <w:color w:val="auto"/>
              </w:rPr>
            </w:pPr>
          </w:p>
        </w:tc>
      </w:tr>
      <w:tr>
        <w:trPr>
          <w:trHeight w:val="222"/>
        </w:trPr>
        <w:tc>
          <w:tcPr>
            <w:tcW w:w="68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Prepaid expenses</w:t>
            </w:r>
          </w:p>
        </w:tc>
        <w:tc>
          <w:tcPr>
            <w:tcW w:w="240" w:type="dxa"/>
            <w:vAlign w:val="bottom"/>
          </w:tcPr>
          <w:p>
            <w:pPr>
              <w:spacing w:after="0"/>
              <w:rPr>
                <w:sz w:val="19"/>
                <w:szCs w:val="19"/>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4,724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3,110</w:t>
            </w:r>
          </w:p>
        </w:tc>
        <w:tc>
          <w:tcPr>
            <w:tcW w:w="0" w:type="dxa"/>
            <w:vAlign w:val="bottom"/>
          </w:tcPr>
          <w:p>
            <w:pPr>
              <w:spacing w:after="0"/>
              <w:rPr>
                <w:sz w:val="1"/>
                <w:szCs w:val="1"/>
                <w:color w:val="auto"/>
              </w:rPr>
            </w:pPr>
          </w:p>
        </w:tc>
      </w:tr>
      <w:tr>
        <w:trPr>
          <w:trHeight w:val="35"/>
        </w:trPr>
        <w:tc>
          <w:tcPr>
            <w:tcW w:w="6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215"/>
        </w:trPr>
        <w:tc>
          <w:tcPr>
            <w:tcW w:w="68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current assets</w:t>
            </w: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86,575</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118,740</w:t>
            </w:r>
          </w:p>
        </w:tc>
        <w:tc>
          <w:tcPr>
            <w:tcW w:w="0" w:type="dxa"/>
            <w:vAlign w:val="bottom"/>
          </w:tcPr>
          <w:p>
            <w:pPr>
              <w:spacing w:after="0"/>
              <w:rPr>
                <w:sz w:val="1"/>
                <w:szCs w:val="1"/>
                <w:color w:val="auto"/>
              </w:rPr>
            </w:pPr>
          </w:p>
        </w:tc>
      </w:tr>
      <w:tr>
        <w:trPr>
          <w:trHeight w:val="35"/>
        </w:trPr>
        <w:tc>
          <w:tcPr>
            <w:tcW w:w="68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26,336</w:t>
            </w: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26,330</w:t>
            </w:r>
          </w:p>
        </w:tc>
        <w:tc>
          <w:tcPr>
            <w:tcW w:w="0" w:type="dxa"/>
            <w:vAlign w:val="bottom"/>
          </w:tcPr>
          <w:p>
            <w:pPr>
              <w:spacing w:after="0"/>
              <w:rPr>
                <w:sz w:val="1"/>
                <w:szCs w:val="1"/>
                <w:color w:val="auto"/>
              </w:rPr>
            </w:pPr>
          </w:p>
        </w:tc>
      </w:tr>
      <w:tr>
        <w:trPr>
          <w:trHeight w:val="221"/>
        </w:trPr>
        <w:tc>
          <w:tcPr>
            <w:tcW w:w="6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equipment, and software—net</w:t>
            </w:r>
          </w:p>
        </w:tc>
        <w:tc>
          <w:tcPr>
            <w:tcW w:w="240" w:type="dxa"/>
            <w:vAlign w:val="bottom"/>
          </w:tcPr>
          <w:p>
            <w:pPr>
              <w:spacing w:after="0"/>
              <w:rPr>
                <w:sz w:val="19"/>
                <w:szCs w:val="19"/>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1,425</w:t>
            </w:r>
          </w:p>
        </w:tc>
        <w:tc>
          <w:tcPr>
            <w:tcW w:w="0" w:type="dxa"/>
            <w:vAlign w:val="bottom"/>
          </w:tcPr>
          <w:p>
            <w:pPr>
              <w:spacing w:after="0"/>
              <w:rPr>
                <w:sz w:val="1"/>
                <w:szCs w:val="1"/>
                <w:color w:val="auto"/>
              </w:rPr>
            </w:pPr>
          </w:p>
        </w:tc>
      </w:tr>
      <w:tr>
        <w:trPr>
          <w:trHeight w:val="35"/>
        </w:trPr>
        <w:tc>
          <w:tcPr>
            <w:tcW w:w="6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assets—net</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1,062</w:t>
            </w: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1,166</w:t>
            </w:r>
          </w:p>
        </w:tc>
        <w:tc>
          <w:tcPr>
            <w:tcW w:w="0" w:type="dxa"/>
            <w:vAlign w:val="bottom"/>
          </w:tcPr>
          <w:p>
            <w:pPr>
              <w:spacing w:after="0"/>
              <w:rPr>
                <w:sz w:val="1"/>
                <w:szCs w:val="1"/>
                <w:color w:val="auto"/>
              </w:rPr>
            </w:pPr>
          </w:p>
        </w:tc>
      </w:tr>
      <w:tr>
        <w:trPr>
          <w:trHeight w:val="222"/>
        </w:trPr>
        <w:tc>
          <w:tcPr>
            <w:tcW w:w="6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Right-of-use assets—net</w:t>
            </w:r>
          </w:p>
        </w:tc>
        <w:tc>
          <w:tcPr>
            <w:tcW w:w="240" w:type="dxa"/>
            <w:vAlign w:val="bottom"/>
          </w:tcPr>
          <w:p>
            <w:pPr>
              <w:spacing w:after="0"/>
              <w:rPr>
                <w:sz w:val="19"/>
                <w:szCs w:val="19"/>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5,805</w:t>
            </w:r>
          </w:p>
        </w:tc>
        <w:tc>
          <w:tcPr>
            <w:tcW w:w="0" w:type="dxa"/>
            <w:vAlign w:val="bottom"/>
          </w:tcPr>
          <w:p>
            <w:pPr>
              <w:spacing w:after="0"/>
              <w:rPr>
                <w:sz w:val="1"/>
                <w:szCs w:val="1"/>
                <w:color w:val="auto"/>
              </w:rPr>
            </w:pPr>
          </w:p>
        </w:tc>
      </w:tr>
      <w:tr>
        <w:trPr>
          <w:trHeight w:val="35"/>
        </w:trPr>
        <w:tc>
          <w:tcPr>
            <w:tcW w:w="6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Investment in equity securities</w:t>
            </w:r>
          </w:p>
        </w:tc>
        <w:tc>
          <w:tcPr>
            <w:tcW w:w="24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744</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744</w:t>
            </w:r>
          </w:p>
        </w:tc>
        <w:tc>
          <w:tcPr>
            <w:tcW w:w="0" w:type="dxa"/>
            <w:vAlign w:val="bottom"/>
          </w:tcPr>
          <w:p>
            <w:pPr>
              <w:spacing w:after="0"/>
              <w:rPr>
                <w:sz w:val="1"/>
                <w:szCs w:val="1"/>
                <w:color w:val="auto"/>
              </w:rPr>
            </w:pPr>
          </w:p>
        </w:tc>
      </w:tr>
      <w:tr>
        <w:trPr>
          <w:trHeight w:val="221"/>
        </w:trPr>
        <w:tc>
          <w:tcPr>
            <w:tcW w:w="6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40" w:type="dxa"/>
            <w:vAlign w:val="bottom"/>
          </w:tcPr>
          <w:p>
            <w:pPr>
              <w:spacing w:after="0"/>
              <w:rPr>
                <w:sz w:val="19"/>
                <w:szCs w:val="19"/>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0" w:type="dxa"/>
            <w:vAlign w:val="bottom"/>
          </w:tcPr>
          <w:p>
            <w:pPr>
              <w:spacing w:after="0"/>
              <w:rPr>
                <w:sz w:val="1"/>
                <w:szCs w:val="1"/>
                <w:color w:val="auto"/>
              </w:rPr>
            </w:pPr>
          </w:p>
        </w:tc>
      </w:tr>
      <w:tr>
        <w:trPr>
          <w:trHeight w:val="35"/>
        </w:trPr>
        <w:tc>
          <w:tcPr>
            <w:tcW w:w="68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6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Total assets</w:t>
            </w:r>
          </w:p>
        </w:tc>
        <w:tc>
          <w:tcPr>
            <w:tcW w:w="240" w:type="dxa"/>
            <w:vAlign w:val="bottom"/>
            <w:tcBorders>
              <w:bottom w:val="single" w:sz="8" w:color="CFF0FC"/>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120,376</w:t>
            </w:r>
          </w:p>
        </w:tc>
        <w:tc>
          <w:tcPr>
            <w:tcW w:w="2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154,416</w:t>
            </w:r>
          </w:p>
        </w:tc>
        <w:tc>
          <w:tcPr>
            <w:tcW w:w="0" w:type="dxa"/>
            <w:vAlign w:val="bottom"/>
          </w:tcPr>
          <w:p>
            <w:pPr>
              <w:spacing w:after="0"/>
              <w:rPr>
                <w:sz w:val="1"/>
                <w:szCs w:val="1"/>
                <w:color w:val="auto"/>
              </w:rPr>
            </w:pPr>
          </w:p>
        </w:tc>
      </w:tr>
      <w:tr>
        <w:trPr>
          <w:trHeight w:val="20"/>
        </w:trPr>
        <w:tc>
          <w:tcPr>
            <w:tcW w:w="68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6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4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8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Accounts payable</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813</w:t>
            </w:r>
          </w:p>
        </w:tc>
        <w:tc>
          <w:tcPr>
            <w:tcW w:w="28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0" w:type="dxa"/>
            <w:vAlign w:val="bottom"/>
          </w:tcPr>
          <w:p>
            <w:pPr>
              <w:spacing w:after="0"/>
              <w:rPr>
                <w:sz w:val="1"/>
                <w:szCs w:val="1"/>
                <w:color w:val="auto"/>
              </w:rPr>
            </w:pPr>
          </w:p>
        </w:tc>
      </w:tr>
      <w:tr>
        <w:trPr>
          <w:trHeight w:val="35"/>
        </w:trPr>
        <w:tc>
          <w:tcPr>
            <w:tcW w:w="6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Accrued compensation</w:t>
            </w:r>
          </w:p>
        </w:tc>
        <w:tc>
          <w:tcPr>
            <w:tcW w:w="24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3,476</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4,747</w:t>
            </w:r>
          </w:p>
        </w:tc>
        <w:tc>
          <w:tcPr>
            <w:tcW w:w="0" w:type="dxa"/>
            <w:vAlign w:val="bottom"/>
          </w:tcPr>
          <w:p>
            <w:pPr>
              <w:spacing w:after="0"/>
              <w:rPr>
                <w:sz w:val="1"/>
                <w:szCs w:val="1"/>
                <w:color w:val="auto"/>
              </w:rPr>
            </w:pPr>
          </w:p>
        </w:tc>
      </w:tr>
      <w:tr>
        <w:trPr>
          <w:trHeight w:val="221"/>
        </w:trPr>
        <w:tc>
          <w:tcPr>
            <w:tcW w:w="68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Accrued research and development expenses</w:t>
            </w:r>
          </w:p>
        </w:tc>
        <w:tc>
          <w:tcPr>
            <w:tcW w:w="240" w:type="dxa"/>
            <w:vAlign w:val="bottom"/>
          </w:tcPr>
          <w:p>
            <w:pPr>
              <w:spacing w:after="0"/>
              <w:rPr>
                <w:sz w:val="19"/>
                <w:szCs w:val="19"/>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1,794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1,714</w:t>
            </w:r>
          </w:p>
        </w:tc>
        <w:tc>
          <w:tcPr>
            <w:tcW w:w="0" w:type="dxa"/>
            <w:vAlign w:val="bottom"/>
          </w:tcPr>
          <w:p>
            <w:pPr>
              <w:spacing w:after="0"/>
              <w:rPr>
                <w:sz w:val="1"/>
                <w:szCs w:val="1"/>
                <w:color w:val="auto"/>
              </w:rPr>
            </w:pPr>
          </w:p>
        </w:tc>
      </w:tr>
      <w:tr>
        <w:trPr>
          <w:trHeight w:val="35"/>
        </w:trPr>
        <w:tc>
          <w:tcPr>
            <w:tcW w:w="6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6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Lease liabilities</w:t>
            </w:r>
          </w:p>
        </w:tc>
        <w:tc>
          <w:tcPr>
            <w:tcW w:w="24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1,660</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1,507</w:t>
            </w:r>
          </w:p>
        </w:tc>
        <w:tc>
          <w:tcPr>
            <w:tcW w:w="0" w:type="dxa"/>
            <w:vAlign w:val="bottom"/>
          </w:tcPr>
          <w:p>
            <w:pPr>
              <w:spacing w:after="0"/>
              <w:rPr>
                <w:sz w:val="1"/>
                <w:szCs w:val="1"/>
                <w:color w:val="auto"/>
              </w:rPr>
            </w:pPr>
          </w:p>
        </w:tc>
      </w:tr>
      <w:tr>
        <w:trPr>
          <w:trHeight w:val="221"/>
        </w:trPr>
        <w:tc>
          <w:tcPr>
            <w:tcW w:w="68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40" w:type="dxa"/>
            <w:vAlign w:val="bottom"/>
          </w:tcPr>
          <w:p>
            <w:pPr>
              <w:spacing w:after="0"/>
              <w:rPr>
                <w:sz w:val="19"/>
                <w:szCs w:val="19"/>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w:t>
            </w:r>
          </w:p>
        </w:tc>
        <w:tc>
          <w:tcPr>
            <w:tcW w:w="0" w:type="dxa"/>
            <w:vAlign w:val="bottom"/>
          </w:tcPr>
          <w:p>
            <w:pPr>
              <w:spacing w:after="0"/>
              <w:rPr>
                <w:sz w:val="1"/>
                <w:szCs w:val="1"/>
                <w:color w:val="auto"/>
              </w:rPr>
            </w:pPr>
          </w:p>
        </w:tc>
      </w:tr>
      <w:tr>
        <w:trPr>
          <w:trHeight w:val="35"/>
        </w:trPr>
        <w:tc>
          <w:tcPr>
            <w:tcW w:w="68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4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8,270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8,913</w:t>
            </w:r>
          </w:p>
        </w:tc>
        <w:tc>
          <w:tcPr>
            <w:tcW w:w="0" w:type="dxa"/>
            <w:vAlign w:val="bottom"/>
          </w:tcPr>
          <w:p>
            <w:pPr>
              <w:spacing w:after="0"/>
              <w:rPr>
                <w:sz w:val="1"/>
                <w:szCs w:val="1"/>
                <w:color w:val="auto"/>
              </w:rPr>
            </w:pPr>
          </w:p>
        </w:tc>
      </w:tr>
      <w:tr>
        <w:trPr>
          <w:trHeight w:val="215"/>
        </w:trPr>
        <w:tc>
          <w:tcPr>
            <w:tcW w:w="6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Loan payable</w:t>
            </w: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22,424</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22,404</w:t>
            </w:r>
          </w:p>
        </w:tc>
        <w:tc>
          <w:tcPr>
            <w:tcW w:w="0" w:type="dxa"/>
            <w:vAlign w:val="bottom"/>
          </w:tcPr>
          <w:p>
            <w:pPr>
              <w:spacing w:after="0"/>
              <w:rPr>
                <w:sz w:val="1"/>
                <w:szCs w:val="1"/>
                <w:color w:val="auto"/>
              </w:rPr>
            </w:pPr>
          </w:p>
        </w:tc>
      </w:tr>
      <w:tr>
        <w:trPr>
          <w:trHeight w:val="35"/>
        </w:trPr>
        <w:tc>
          <w:tcPr>
            <w:tcW w:w="6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6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Lease liabilities</w:t>
            </w:r>
          </w:p>
        </w:tc>
        <w:tc>
          <w:tcPr>
            <w:tcW w:w="24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3,636</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4,897</w:t>
            </w:r>
          </w:p>
        </w:tc>
        <w:tc>
          <w:tcPr>
            <w:tcW w:w="0" w:type="dxa"/>
            <w:vAlign w:val="bottom"/>
          </w:tcPr>
          <w:p>
            <w:pPr>
              <w:spacing w:after="0"/>
              <w:rPr>
                <w:sz w:val="1"/>
                <w:szCs w:val="1"/>
                <w:color w:val="auto"/>
              </w:rPr>
            </w:pPr>
          </w:p>
        </w:tc>
      </w:tr>
      <w:tr>
        <w:trPr>
          <w:trHeight w:val="221"/>
        </w:trPr>
        <w:tc>
          <w:tcPr>
            <w:tcW w:w="6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Warrant liability</w:t>
            </w:r>
          </w:p>
        </w:tc>
        <w:tc>
          <w:tcPr>
            <w:tcW w:w="240" w:type="dxa"/>
            <w:vAlign w:val="bottom"/>
          </w:tcPr>
          <w:p>
            <w:pPr>
              <w:spacing w:after="0"/>
              <w:rPr>
                <w:sz w:val="19"/>
                <w:szCs w:val="19"/>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23,969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15,695</w:t>
            </w:r>
          </w:p>
        </w:tc>
        <w:tc>
          <w:tcPr>
            <w:tcW w:w="0" w:type="dxa"/>
            <w:vAlign w:val="bottom"/>
          </w:tcPr>
          <w:p>
            <w:pPr>
              <w:spacing w:after="0"/>
              <w:rPr>
                <w:sz w:val="1"/>
                <w:szCs w:val="1"/>
                <w:color w:val="auto"/>
              </w:rPr>
            </w:pPr>
          </w:p>
        </w:tc>
      </w:tr>
      <w:tr>
        <w:trPr>
          <w:trHeight w:val="35"/>
        </w:trPr>
        <w:tc>
          <w:tcPr>
            <w:tcW w:w="6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6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Contract liabilities</w:t>
            </w:r>
          </w:p>
        </w:tc>
        <w:tc>
          <w:tcPr>
            <w:tcW w:w="24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10,000</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0" w:type="dxa"/>
            <w:vAlign w:val="bottom"/>
          </w:tcPr>
          <w:p>
            <w:pPr>
              <w:spacing w:after="0"/>
              <w:rPr>
                <w:sz w:val="1"/>
                <w:szCs w:val="1"/>
                <w:color w:val="auto"/>
              </w:rPr>
            </w:pPr>
          </w:p>
        </w:tc>
      </w:tr>
      <w:tr>
        <w:trPr>
          <w:trHeight w:val="221"/>
        </w:trPr>
        <w:tc>
          <w:tcPr>
            <w:tcW w:w="6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240" w:type="dxa"/>
            <w:vAlign w:val="bottom"/>
          </w:tcPr>
          <w:p>
            <w:pPr>
              <w:spacing w:after="0"/>
              <w:rPr>
                <w:sz w:val="19"/>
                <w:szCs w:val="19"/>
                <w:color w:val="auto"/>
              </w:rPr>
            </w:pP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0" w:type="dxa"/>
            <w:vAlign w:val="bottom"/>
          </w:tcPr>
          <w:p>
            <w:pPr>
              <w:spacing w:after="0"/>
              <w:rPr>
                <w:sz w:val="1"/>
                <w:szCs w:val="1"/>
                <w:color w:val="auto"/>
              </w:rPr>
            </w:pPr>
          </w:p>
        </w:tc>
      </w:tr>
      <w:tr>
        <w:trPr>
          <w:trHeight w:val="35"/>
        </w:trPr>
        <w:tc>
          <w:tcPr>
            <w:tcW w:w="68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Total liabilities</w:t>
            </w:r>
          </w:p>
        </w:tc>
        <w:tc>
          <w:tcPr>
            <w:tcW w:w="24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68,601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62,168</w:t>
            </w:r>
          </w:p>
        </w:tc>
        <w:tc>
          <w:tcPr>
            <w:tcW w:w="0" w:type="dxa"/>
            <w:vAlign w:val="bottom"/>
          </w:tcPr>
          <w:p>
            <w:pPr>
              <w:spacing w:after="0"/>
              <w:rPr>
                <w:sz w:val="1"/>
                <w:szCs w:val="1"/>
                <w:color w:val="auto"/>
              </w:rPr>
            </w:pPr>
          </w:p>
        </w:tc>
      </w:tr>
      <w:tr>
        <w:trPr>
          <w:trHeight w:val="201"/>
        </w:trPr>
        <w:tc>
          <w:tcPr>
            <w:tcW w:w="6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58" w:lineRule="exact"/>
        <w:rPr>
          <w:sz w:val="20"/>
          <w:szCs w:val="20"/>
          <w:color w:val="auto"/>
        </w:rPr>
      </w:pPr>
    </w:p>
    <w:p>
      <w:pPr>
        <w:ind w:left="20" w:right="1600"/>
        <w:spacing w:after="0" w:line="298" w:lineRule="auto"/>
        <w:rPr>
          <w:sz w:val="20"/>
          <w:szCs w:val="20"/>
          <w:color w:val="auto"/>
        </w:rPr>
      </w:pPr>
      <w:r>
        <w:rPr>
          <w:rFonts w:ascii="Times New Roman" w:cs="Times New Roman" w:eastAsia="Times New Roman" w:hAnsi="Times New Roman"/>
          <w:sz w:val="15"/>
          <w:szCs w:val="15"/>
          <w:color w:val="auto"/>
        </w:rPr>
        <w:t>Preferred stock: $0.0001 par value— 10,000,000 shares authorized as of September 30, 2026 and December 31, 2025; no shares issued and outstanding as of September 30, 2026 and December 31, 2025</w:t>
      </w:r>
    </w:p>
    <w:p>
      <w:pPr>
        <w:spacing w:after="0" w:line="4" w:lineRule="exact"/>
        <w:rPr>
          <w:sz w:val="20"/>
          <w:szCs w:val="20"/>
          <w:color w:val="auto"/>
        </w:rPr>
      </w:pPr>
    </w:p>
    <w:p>
      <w:pPr>
        <w:ind w:left="20" w:right="1360"/>
        <w:spacing w:after="0" w:line="271" w:lineRule="auto"/>
        <w:rPr>
          <w:sz w:val="20"/>
          <w:szCs w:val="20"/>
          <w:color w:val="auto"/>
        </w:rPr>
      </w:pPr>
      <w:r>
        <w:rPr>
          <w:rFonts w:ascii="Times New Roman" w:cs="Times New Roman" w:eastAsia="Times New Roman" w:hAnsi="Times New Roman"/>
          <w:sz w:val="15"/>
          <w:szCs w:val="15"/>
          <w:color w:val="auto"/>
        </w:rPr>
        <w:t>Common stock: $0.000005 par value— 200,000,000 shares authorized as of September 30, 2026 and December 31, 2025; 27,920,080 shares issued and 27,893,065 shares outstanding as of September 30, 2026; 24,115,346 shares issued and 24,088,425 shares outstanding as of December 31, 2025</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tabs>
          <w:tab w:leader="none" w:pos="228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w:t>
      </w:r>
    </w:p>
    <w:p>
      <w:pPr>
        <w:spacing w:after="0" w:line="354" w:lineRule="exact"/>
        <w:rPr>
          <w:sz w:val="20"/>
          <w:szCs w:val="20"/>
          <w:color w:val="auto"/>
        </w:rPr>
      </w:pPr>
    </w:p>
    <w:p>
      <w:pPr>
        <w:ind w:left="80"/>
        <w:spacing w:after="0"/>
        <w:tabs>
          <w:tab w:leader="none" w:pos="236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5"/>
          <w:szCs w:val="15"/>
          <w:color w:val="auto"/>
        </w:rPr>
        <w:t>1</w:t>
      </w:r>
    </w:p>
    <w:p>
      <w:pPr>
        <w:spacing w:after="0" w:line="249" w:lineRule="exact"/>
        <w:rPr>
          <w:sz w:val="20"/>
          <w:szCs w:val="20"/>
          <w:color w:val="auto"/>
        </w:rPr>
      </w:pPr>
    </w:p>
    <w:p>
      <w:pPr>
        <w:sectPr>
          <w:pgSz w:w="11900" w:h="16838" w:orient="portrait"/>
          <w:cols w:equalWidth="0" w:num="2">
            <w:col w:w="8000" w:space="720"/>
            <w:col w:w="25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6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76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639,593</w:t>
            </w:r>
          </w:p>
        </w:tc>
        <w:tc>
          <w:tcPr>
            <w:tcW w:w="2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621,387</w:t>
            </w:r>
          </w:p>
        </w:tc>
      </w:tr>
      <w:tr>
        <w:trPr>
          <w:trHeight w:val="221"/>
        </w:trPr>
        <w:tc>
          <w:tcPr>
            <w:tcW w:w="6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Accumulated deficit</w:t>
            </w: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(586,867)</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(528,188)</w:t>
            </w:r>
          </w:p>
        </w:tc>
      </w:tr>
      <w:tr>
        <w:trPr>
          <w:trHeight w:val="35"/>
        </w:trPr>
        <w:tc>
          <w:tcPr>
            <w:tcW w:w="6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6"/>
        </w:trPr>
        <w:tc>
          <w:tcPr>
            <w:tcW w:w="6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Treasury stock</w:t>
            </w:r>
          </w:p>
        </w:tc>
        <w:tc>
          <w:tcPr>
            <w:tcW w:w="76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(952)</w:t>
            </w:r>
          </w:p>
        </w:tc>
        <w:tc>
          <w:tcPr>
            <w:tcW w:w="28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(952)</w:t>
            </w:r>
          </w:p>
        </w:tc>
      </w:tr>
      <w:tr>
        <w:trPr>
          <w:trHeight w:val="215"/>
        </w:trPr>
        <w:tc>
          <w:tcPr>
            <w:tcW w:w="68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7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51,775</w:t>
            </w: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92,248</w:t>
            </w:r>
          </w:p>
        </w:tc>
      </w:tr>
      <w:tr>
        <w:trPr>
          <w:trHeight w:val="35"/>
        </w:trPr>
        <w:tc>
          <w:tcPr>
            <w:tcW w:w="6880" w:type="dxa"/>
            <w:vAlign w:val="bottom"/>
            <w:tcBorders>
              <w:bottom w:val="single" w:sz="8" w:color="CFF0FC"/>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80" w:type="dxa"/>
            <w:vAlign w:val="bottom"/>
            <w:tcBorders>
              <w:bottom w:val="single" w:sz="8" w:color="CFF0FC"/>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75"/>
        </w:trPr>
        <w:tc>
          <w:tcPr>
            <w:tcW w:w="6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760" w:type="dxa"/>
            <w:vAlign w:val="bottom"/>
            <w:tcBorders>
              <w:bottom w:val="single" w:sz="8" w:color="CFF0FC"/>
            </w:tcBorders>
            <w:shd w:val="clear" w:color="auto" w:fill="CFF0FC"/>
          </w:tcPr>
          <w:p>
            <w:pPr>
              <w:jc w:val="right"/>
              <w:ind w:right="5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120,376</w:t>
            </w:r>
          </w:p>
        </w:tc>
        <w:tc>
          <w:tcPr>
            <w:tcW w:w="28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shd w:val="clear" w:color="auto" w:fill="CFF0FC"/>
          </w:tcPr>
          <w:p>
            <w:pPr>
              <w:jc w:val="right"/>
              <w:ind w:right="58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154,416</w:t>
            </w:r>
          </w:p>
        </w:tc>
      </w:tr>
      <w:tr>
        <w:trPr>
          <w:trHeight w:val="20"/>
        </w:trPr>
        <w:tc>
          <w:tcPr>
            <w:tcW w:w="68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PRECISION BIOSCIENCES,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60" w:type="dxa"/>
            <w:vAlign w:val="bottom"/>
          </w:tcPr>
          <w:p>
            <w:pPr>
              <w:spacing w:after="0"/>
              <w:rPr>
                <w:sz w:val="19"/>
                <w:szCs w:val="19"/>
                <w:color w:val="auto"/>
              </w:rPr>
            </w:pPr>
          </w:p>
        </w:tc>
        <w:tc>
          <w:tcPr>
            <w:tcW w:w="322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50"/>
        </w:trPr>
        <w:tc>
          <w:tcPr>
            <w:tcW w:w="4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10,838</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4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13,352</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38,249</w:t>
            </w: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39,708</w:t>
            </w:r>
          </w:p>
        </w:tc>
      </w:tr>
      <w:tr>
        <w:trPr>
          <w:trHeight w:val="250"/>
        </w:trPr>
        <w:tc>
          <w:tcPr>
            <w:tcW w:w="4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1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7,328</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21,253</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25,008</w:t>
            </w:r>
          </w:p>
        </w:tc>
      </w:tr>
      <w:tr>
        <w:trPr>
          <w:trHeight w:val="257"/>
        </w:trPr>
        <w:tc>
          <w:tcPr>
            <w:tcW w:w="4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20,428</w:t>
            </w:r>
          </w:p>
        </w:tc>
        <w:tc>
          <w:tcPr>
            <w:tcW w:w="1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20,680</w:t>
            </w:r>
          </w:p>
        </w:tc>
        <w:tc>
          <w:tcPr>
            <w:tcW w:w="2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59,502</w:t>
            </w:r>
          </w:p>
        </w:tc>
        <w:tc>
          <w:tcPr>
            <w:tcW w:w="2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64,716</w:t>
            </w:r>
          </w:p>
        </w:tc>
      </w:tr>
      <w:tr>
        <w:trPr>
          <w:trHeight w:val="24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(20,428)</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(48,664)</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(64,656)</w:t>
            </w:r>
          </w:p>
        </w:tc>
      </w:tr>
      <w:tr>
        <w:trPr>
          <w:trHeight w:val="26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7"/>
        </w:trPr>
        <w:tc>
          <w:tcPr>
            <w:tcW w:w="4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gain from equity method investment</w:t>
            </w:r>
          </w:p>
        </w:tc>
        <w:tc>
          <w:tcPr>
            <w:tcW w:w="140" w:type="dxa"/>
            <w:vAlign w:val="bottom"/>
          </w:tcPr>
          <w:p>
            <w:pPr>
              <w:spacing w:after="0"/>
              <w:rPr>
                <w:sz w:val="21"/>
                <w:szCs w:val="21"/>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6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changes in other fair value adjustments</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w:t>
            </w:r>
          </w:p>
        </w:tc>
      </w:tr>
      <w:tr>
        <w:trPr>
          <w:trHeight w:val="247"/>
        </w:trPr>
        <w:tc>
          <w:tcPr>
            <w:tcW w:w="4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(loss) on change in fair value of warrant liability</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12,724</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r>
      <w:tr>
        <w:trPr>
          <w:trHeight w:val="26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r>
      <w:tr>
        <w:trPr>
          <w:trHeight w:val="247"/>
        </w:trPr>
        <w:tc>
          <w:tcPr>
            <w:tcW w:w="4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r>
      <w:tr>
        <w:trPr>
          <w:trHeight w:val="26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(loss) on disposal of assets</w:t>
            </w:r>
          </w:p>
        </w:tc>
        <w:tc>
          <w:tcPr>
            <w:tcW w:w="1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44"/>
        </w:trPr>
        <w:tc>
          <w:tcPr>
            <w:tcW w:w="41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12,842</w:t>
            </w:r>
          </w:p>
        </w:tc>
        <w:tc>
          <w:tcPr>
            <w:tcW w:w="1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2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(10,015)</w:t>
            </w:r>
          </w:p>
        </w:tc>
        <w:tc>
          <w:tcPr>
            <w:tcW w:w="2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r>
      <w:tr>
        <w:trPr>
          <w:trHeight w:val="27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(7,586)</w:t>
            </w: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(21,772)</w:t>
            </w:r>
          </w:p>
        </w:tc>
        <w:tc>
          <w:tcPr>
            <w:tcW w:w="2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(58,679)</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8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6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70"/>
        </w:trPr>
        <w:tc>
          <w:tcPr>
            <w:tcW w:w="4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of common stock outstanding</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27,433,353</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11,818,145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25,985,060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10,728,199</w:t>
            </w:r>
          </w:p>
        </w:tc>
      </w:tr>
      <w:tr>
        <w:trPr>
          <w:trHeight w:val="26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27,433,353</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11,818,145</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25,985,060</w:t>
            </w: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10,728,199</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PRECISION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190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6"/>
        </w:trPr>
        <w:tc>
          <w:tcPr>
            <w:tcW w:w="4200" w:type="dxa"/>
            <w:vAlign w:val="bottom"/>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restart"/>
          </w:tcPr>
          <w:p>
            <w:pPr>
              <w:jc w:val="center"/>
              <w:ind w:right="8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8"/>
                <w:szCs w:val="18"/>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8,229,730</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539,808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(482,464)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56,393</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30,999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to licensees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220,712</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ATM facility, net of issuance cost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1,818,886</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9,516</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275,540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(20,565)</w:t>
            </w:r>
          </w:p>
        </w:tc>
        <w:tc>
          <w:tcPr>
            <w:tcW w:w="0" w:type="dxa"/>
            <w:vAlign w:val="bottom"/>
          </w:tcPr>
          <w:p>
            <w:pPr>
              <w:spacing w:after="0"/>
              <w:rPr>
                <w:sz w:val="1"/>
                <w:szCs w:val="1"/>
                <w:color w:val="auto"/>
              </w:rPr>
            </w:pPr>
          </w:p>
        </w:tc>
      </w:tr>
      <w:tr>
        <w:trPr>
          <w:trHeight w:val="20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10,575,867</w:t>
            </w: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553,317</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(503,029)</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49,337</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ATM facility, net of issuance cost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1,036,488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51,641</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(23,520)</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11,663,996</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561,554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(526,549)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34,054</w:t>
            </w:r>
          </w:p>
        </w:tc>
        <w:tc>
          <w:tcPr>
            <w:tcW w:w="0" w:type="dxa"/>
            <w:vAlign w:val="bottom"/>
          </w:tcPr>
          <w:p>
            <w:pPr>
              <w:spacing w:after="0"/>
              <w:rPr>
                <w:sz w:val="1"/>
                <w:szCs w:val="1"/>
                <w:color w:val="auto"/>
              </w:rPr>
            </w:pPr>
          </w:p>
        </w:tc>
      </w:tr>
      <w:tr>
        <w:trPr>
          <w:trHeight w:val="20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18,745</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ATM facility, net of issuance cost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382,571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44,368</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(21,772)</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12,109,680</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(548,321)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24,115,346</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621,387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92,248</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to licensees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201,504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from pre-funded warrants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875,000</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617,830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(18,441)</w:t>
            </w:r>
          </w:p>
        </w:tc>
        <w:tc>
          <w:tcPr>
            <w:tcW w:w="0" w:type="dxa"/>
            <w:vAlign w:val="bottom"/>
          </w:tcPr>
          <w:p>
            <w:pPr>
              <w:spacing w:after="0"/>
              <w:rPr>
                <w:sz w:val="1"/>
                <w:szCs w:val="1"/>
                <w:color w:val="auto"/>
              </w:rPr>
            </w:pPr>
          </w:p>
        </w:tc>
      </w:tr>
      <w:tr>
        <w:trPr>
          <w:trHeight w:val="20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2026</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25,832,913</w:t>
            </w: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623,681</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(546,629)</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76,101</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from pre-funded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102,660</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(32,652)</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26,460,573</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625,525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(579,281)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45,293</w:t>
            </w:r>
          </w:p>
        </w:tc>
        <w:tc>
          <w:tcPr>
            <w:tcW w:w="0" w:type="dxa"/>
            <w:vAlign w:val="bottom"/>
          </w:tcPr>
          <w:p>
            <w:pPr>
              <w:spacing w:after="0"/>
              <w:rPr>
                <w:sz w:val="1"/>
                <w:szCs w:val="1"/>
                <w:color w:val="auto"/>
              </w:rPr>
            </w:pPr>
          </w:p>
        </w:tc>
      </w:tr>
      <w:tr>
        <w:trPr>
          <w:trHeight w:val="20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28,186</w:t>
            </w: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ATM facility, net of issuance costs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1,408,833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10,856</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22,488</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(7,586)</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27,920,080</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639,593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(586,867)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PRECISION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58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6960" w:type="dxa"/>
            <w:vAlign w:val="bottom"/>
          </w:tcPr>
          <w:p>
            <w:pPr>
              <w:spacing w:after="0"/>
              <w:rPr>
                <w:sz w:val="17"/>
                <w:szCs w:val="17"/>
                <w:color w:val="auto"/>
              </w:rPr>
            </w:pP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6960" w:type="dxa"/>
            <w:vAlign w:val="bottom"/>
            <w:tcBorders>
              <w:bottom w:val="single" w:sz="8" w:color="CFF0FC"/>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operating activities:</w:t>
            </w:r>
          </w:p>
        </w:tc>
        <w:tc>
          <w:tcPr>
            <w:tcW w:w="13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(58,679)</w:t>
            </w:r>
          </w:p>
        </w:tc>
        <w:tc>
          <w:tcPr>
            <w:tcW w:w="100" w:type="dxa"/>
            <w:vAlign w:val="bottom"/>
          </w:tcPr>
          <w:p>
            <w:pPr>
              <w:spacing w:after="0"/>
              <w:rPr>
                <w:sz w:val="17"/>
                <w:szCs w:val="17"/>
                <w:color w:val="auto"/>
              </w:rPr>
            </w:pPr>
          </w:p>
        </w:tc>
        <w:tc>
          <w:tcPr>
            <w:tcW w:w="1400" w:type="dxa"/>
            <w:vAlign w:val="bottom"/>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(65,857)</w:t>
            </w: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3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9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6,351</w:t>
            </w: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8,145</w:t>
            </w:r>
          </w:p>
        </w:tc>
        <w:tc>
          <w:tcPr>
            <w:tcW w:w="0" w:type="dxa"/>
            <w:vAlign w:val="bottom"/>
          </w:tcPr>
          <w:p>
            <w:pPr>
              <w:spacing w:after="0"/>
              <w:rPr>
                <w:sz w:val="1"/>
                <w:szCs w:val="1"/>
                <w:color w:val="auto"/>
              </w:rPr>
            </w:pPr>
          </w:p>
        </w:tc>
      </w:tr>
      <w:tr>
        <w:trPr>
          <w:trHeight w:val="206"/>
        </w:trPr>
        <w:tc>
          <w:tcPr>
            <w:tcW w:w="69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(Gain) loss on disposal of assets</w:t>
            </w:r>
          </w:p>
        </w:tc>
        <w:tc>
          <w:tcPr>
            <w:tcW w:w="1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3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206"/>
        </w:trPr>
        <w:tc>
          <w:tcPr>
            <w:tcW w:w="69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1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rPr>
              <w:t>Loss on changes in other fair value adjustments</w:t>
            </w:r>
          </w:p>
        </w:tc>
        <w:tc>
          <w:tcPr>
            <w:tcW w:w="13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0" w:type="dxa"/>
            <w:vAlign w:val="bottom"/>
          </w:tcPr>
          <w:p>
            <w:pPr>
              <w:spacing w:after="0"/>
              <w:rPr>
                <w:sz w:val="1"/>
                <w:szCs w:val="1"/>
                <w:color w:val="auto"/>
              </w:rPr>
            </w:pPr>
          </w:p>
        </w:tc>
      </w:tr>
      <w:tr>
        <w:trPr>
          <w:trHeight w:val="206"/>
        </w:trPr>
        <w:tc>
          <w:tcPr>
            <w:tcW w:w="69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Gain from equity method investment</w:t>
            </w:r>
          </w:p>
        </w:tc>
        <w:tc>
          <w:tcPr>
            <w:tcW w:w="13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rPr>
              <w:t>Amortization of discount on note receivable</w:t>
            </w:r>
          </w:p>
        </w:tc>
        <w:tc>
          <w:tcPr>
            <w:tcW w:w="13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206"/>
        </w:trPr>
        <w:tc>
          <w:tcPr>
            <w:tcW w:w="69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Loss on change in fair value of warrant liability</w:t>
            </w:r>
          </w:p>
        </w:tc>
        <w:tc>
          <w:tcPr>
            <w:tcW w:w="1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8,274</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rPr>
              <w:t>Issuance of common stock in exchange for services</w:t>
            </w:r>
          </w:p>
        </w:tc>
        <w:tc>
          <w:tcPr>
            <w:tcW w:w="13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9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Prepaid expenses</w:t>
            </w:r>
          </w:p>
        </w:tc>
        <w:tc>
          <w:tcPr>
            <w:tcW w:w="13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0" w:type="dxa"/>
            <w:vAlign w:val="bottom"/>
          </w:tcPr>
          <w:p>
            <w:pPr>
              <w:spacing w:after="0"/>
              <w:rPr>
                <w:sz w:val="1"/>
                <w:szCs w:val="1"/>
                <w:color w:val="auto"/>
              </w:rPr>
            </w:pPr>
          </w:p>
        </w:tc>
      </w:tr>
      <w:tr>
        <w:trPr>
          <w:trHeight w:val="206"/>
        </w:trPr>
        <w:tc>
          <w:tcPr>
            <w:tcW w:w="69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Marketable securities</w:t>
            </w:r>
          </w:p>
        </w:tc>
        <w:tc>
          <w:tcPr>
            <w:tcW w:w="1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Accounts receivable</w:t>
            </w:r>
          </w:p>
        </w:tc>
        <w:tc>
          <w:tcPr>
            <w:tcW w:w="13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6"/>
        </w:trPr>
        <w:tc>
          <w:tcPr>
            <w:tcW w:w="69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Contract asset</w:t>
            </w:r>
          </w:p>
        </w:tc>
        <w:tc>
          <w:tcPr>
            <w:tcW w:w="13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Other assets and other current assets</w:t>
            </w:r>
          </w:p>
        </w:tc>
        <w:tc>
          <w:tcPr>
            <w:tcW w:w="13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06"/>
        </w:trPr>
        <w:tc>
          <w:tcPr>
            <w:tcW w:w="69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Accounts payable</w:t>
            </w:r>
          </w:p>
        </w:tc>
        <w:tc>
          <w:tcPr>
            <w:tcW w:w="1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Other liabilities and other current liabilities</w:t>
            </w:r>
          </w:p>
        </w:tc>
        <w:tc>
          <w:tcPr>
            <w:tcW w:w="13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0" w:type="dxa"/>
            <w:vAlign w:val="bottom"/>
          </w:tcPr>
          <w:p>
            <w:pPr>
              <w:spacing w:after="0"/>
              <w:rPr>
                <w:sz w:val="1"/>
                <w:szCs w:val="1"/>
                <w:color w:val="auto"/>
              </w:rPr>
            </w:pPr>
          </w:p>
        </w:tc>
      </w:tr>
      <w:tr>
        <w:trPr>
          <w:trHeight w:val="206"/>
        </w:trPr>
        <w:tc>
          <w:tcPr>
            <w:tcW w:w="69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Deferred revenue</w:t>
            </w:r>
          </w:p>
        </w:tc>
        <w:tc>
          <w:tcPr>
            <w:tcW w:w="13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6960" w:type="dxa"/>
            <w:vAlign w:val="bottom"/>
            <w:tcBorders>
              <w:bottom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Lease liabilities</w:t>
            </w:r>
          </w:p>
        </w:tc>
        <w:tc>
          <w:tcPr>
            <w:tcW w:w="13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200"/>
        </w:trPr>
        <w:tc>
          <w:tcPr>
            <w:tcW w:w="696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3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(40,511)</w:t>
            </w: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(54,593)</w:t>
            </w:r>
          </w:p>
        </w:tc>
        <w:tc>
          <w:tcPr>
            <w:tcW w:w="0" w:type="dxa"/>
            <w:vAlign w:val="bottom"/>
          </w:tcPr>
          <w:p>
            <w:pPr>
              <w:spacing w:after="0"/>
              <w:rPr>
                <w:sz w:val="1"/>
                <w:szCs w:val="1"/>
                <w:color w:val="auto"/>
              </w:rPr>
            </w:pPr>
          </w:p>
        </w:tc>
      </w:tr>
      <w:tr>
        <w:trPr>
          <w:trHeight w:val="37"/>
        </w:trPr>
        <w:tc>
          <w:tcPr>
            <w:tcW w:w="6960" w:type="dxa"/>
            <w:vAlign w:val="bottom"/>
            <w:tcBorders>
              <w:bottom w:val="single" w:sz="8" w:color="CFF0FC"/>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13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property, equipment and software</w:t>
            </w:r>
          </w:p>
        </w:tc>
        <w:tc>
          <w:tcPr>
            <w:tcW w:w="1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13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06"/>
        </w:trPr>
        <w:tc>
          <w:tcPr>
            <w:tcW w:w="6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37"/>
        </w:trPr>
        <w:tc>
          <w:tcPr>
            <w:tcW w:w="6960" w:type="dxa"/>
            <w:vAlign w:val="bottom"/>
            <w:tcBorders>
              <w:bottom w:val="single" w:sz="8" w:color="CFF0FC"/>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96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38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86"/>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financing activities:</w:t>
            </w:r>
          </w:p>
        </w:tc>
        <w:tc>
          <w:tcPr>
            <w:tcW w:w="13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13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206"/>
        </w:trPr>
        <w:tc>
          <w:tcPr>
            <w:tcW w:w="6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issuance of common stock through ATM facility, net of issuance cost</w:t>
            </w:r>
          </w:p>
        </w:tc>
        <w:tc>
          <w:tcPr>
            <w:tcW w:w="1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10,856</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16,397</w:t>
            </w: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69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Proceeds from issuance of common stock to collaboration partners and licensees</w:t>
            </w:r>
          </w:p>
        </w:tc>
        <w:tc>
          <w:tcPr>
            <w:tcW w:w="13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200"/>
        </w:trPr>
        <w:tc>
          <w:tcPr>
            <w:tcW w:w="69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3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11,705</w:t>
            </w: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17,646</w:t>
            </w:r>
          </w:p>
        </w:tc>
        <w:tc>
          <w:tcPr>
            <w:tcW w:w="0" w:type="dxa"/>
            <w:vAlign w:val="bottom"/>
          </w:tcPr>
          <w:p>
            <w:pPr>
              <w:spacing w:after="0"/>
              <w:rPr>
                <w:sz w:val="1"/>
                <w:szCs w:val="1"/>
                <w:color w:val="auto"/>
              </w:rPr>
            </w:pPr>
          </w:p>
        </w:tc>
      </w:tr>
      <w:tr>
        <w:trPr>
          <w:trHeight w:val="37"/>
        </w:trPr>
        <w:tc>
          <w:tcPr>
            <w:tcW w:w="6960" w:type="dxa"/>
            <w:vAlign w:val="bottom"/>
            <w:tcBorders>
              <w:bottom w:val="single" w:sz="8" w:color="CFF0FC"/>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3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(29,119)</w:t>
            </w:r>
          </w:p>
        </w:tc>
        <w:tc>
          <w:tcPr>
            <w:tcW w:w="1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(37,256)</w:t>
            </w:r>
          </w:p>
        </w:tc>
        <w:tc>
          <w:tcPr>
            <w:tcW w:w="0" w:type="dxa"/>
            <w:vAlign w:val="bottom"/>
          </w:tcPr>
          <w:p>
            <w:pPr>
              <w:spacing w:after="0"/>
              <w:rPr>
                <w:sz w:val="1"/>
                <w:szCs w:val="1"/>
                <w:color w:val="auto"/>
              </w:rPr>
            </w:pPr>
          </w:p>
        </w:tc>
      </w:tr>
      <w:tr>
        <w:trPr>
          <w:trHeight w:val="206"/>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1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137,153</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108,468</w:t>
            </w:r>
          </w:p>
        </w:tc>
        <w:tc>
          <w:tcPr>
            <w:tcW w:w="0" w:type="dxa"/>
            <w:vAlign w:val="bottom"/>
          </w:tcPr>
          <w:p>
            <w:pPr>
              <w:spacing w:after="0"/>
              <w:rPr>
                <w:sz w:val="1"/>
                <w:szCs w:val="1"/>
                <w:color w:val="auto"/>
              </w:rPr>
            </w:pPr>
          </w:p>
        </w:tc>
      </w:tr>
      <w:tr>
        <w:trPr>
          <w:trHeight w:val="37"/>
        </w:trPr>
        <w:tc>
          <w:tcPr>
            <w:tcW w:w="6960" w:type="dxa"/>
            <w:vAlign w:val="bottom"/>
            <w:tcBorders>
              <w:bottom w:val="single" w:sz="8" w:color="CFF0FC"/>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1380" w:type="dxa"/>
            <w:vAlign w:val="bottom"/>
            <w:tcBorders>
              <w:bottom w:val="single" w:sz="8" w:color="CFF0FC"/>
            </w:tcBorders>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108,034</w:t>
            </w:r>
          </w:p>
        </w:tc>
        <w:tc>
          <w:tcPr>
            <w:tcW w:w="1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71,212</w:t>
            </w:r>
          </w:p>
        </w:tc>
        <w:tc>
          <w:tcPr>
            <w:tcW w:w="0" w:type="dxa"/>
            <w:vAlign w:val="bottom"/>
          </w:tcPr>
          <w:p>
            <w:pPr>
              <w:spacing w:after="0"/>
              <w:rPr>
                <w:sz w:val="1"/>
                <w:szCs w:val="1"/>
                <w:color w:val="auto"/>
              </w:rPr>
            </w:pPr>
          </w:p>
        </w:tc>
      </w:tr>
      <w:tr>
        <w:trPr>
          <w:trHeight w:val="20"/>
        </w:trPr>
        <w:tc>
          <w:tcPr>
            <w:tcW w:w="69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96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80" w:type="dxa"/>
            <w:vAlign w:val="bottom"/>
            <w:tcBorders>
              <w:bottom w:val="single" w:sz="8" w:color="CFF0FC"/>
            </w:tcBorders>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81,698</w:t>
            </w: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44,870</w:t>
            </w:r>
          </w:p>
        </w:tc>
        <w:tc>
          <w:tcPr>
            <w:tcW w:w="0" w:type="dxa"/>
            <w:vAlign w:val="bottom"/>
          </w:tcPr>
          <w:p>
            <w:pPr>
              <w:spacing w:after="0"/>
              <w:rPr>
                <w:sz w:val="1"/>
                <w:szCs w:val="1"/>
                <w:color w:val="auto"/>
              </w:rPr>
            </w:pPr>
          </w:p>
        </w:tc>
      </w:tr>
      <w:tr>
        <w:trPr>
          <w:trHeight w:val="206"/>
        </w:trPr>
        <w:tc>
          <w:tcPr>
            <w:tcW w:w="6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Restricted cash</w:t>
            </w:r>
          </w:p>
        </w:tc>
        <w:tc>
          <w:tcPr>
            <w:tcW w:w="1380" w:type="dxa"/>
            <w:vAlign w:val="bottom"/>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26,336</w:t>
            </w:r>
          </w:p>
        </w:tc>
        <w:tc>
          <w:tcPr>
            <w:tcW w:w="100" w:type="dxa"/>
            <w:vAlign w:val="bottom"/>
          </w:tcPr>
          <w:p>
            <w:pPr>
              <w:spacing w:after="0"/>
              <w:rPr>
                <w:sz w:val="17"/>
                <w:szCs w:val="17"/>
                <w:color w:val="auto"/>
              </w:rPr>
            </w:pPr>
          </w:p>
        </w:tc>
        <w:tc>
          <w:tcPr>
            <w:tcW w:w="1400" w:type="dxa"/>
            <w:vAlign w:val="bottom"/>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26,342</w:t>
            </w:r>
          </w:p>
        </w:tc>
        <w:tc>
          <w:tcPr>
            <w:tcW w:w="0" w:type="dxa"/>
            <w:vAlign w:val="bottom"/>
          </w:tcPr>
          <w:p>
            <w:pPr>
              <w:spacing w:after="0"/>
              <w:rPr>
                <w:sz w:val="1"/>
                <w:szCs w:val="1"/>
                <w:color w:val="auto"/>
              </w:rPr>
            </w:pPr>
          </w:p>
        </w:tc>
      </w:tr>
      <w:tr>
        <w:trPr>
          <w:trHeight w:val="37"/>
        </w:trPr>
        <w:tc>
          <w:tcPr>
            <w:tcW w:w="6960" w:type="dxa"/>
            <w:vAlign w:val="bottom"/>
            <w:tcBorders>
              <w:bottom w:val="single" w:sz="8" w:color="CFF0FC"/>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69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Total of cash, cash equivalents and restricted cash</w:t>
            </w:r>
          </w:p>
        </w:tc>
        <w:tc>
          <w:tcPr>
            <w:tcW w:w="1380" w:type="dxa"/>
            <w:vAlign w:val="bottom"/>
            <w:tcBorders>
              <w:bottom w:val="single" w:sz="8" w:color="CFF0FC"/>
            </w:tcBorders>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108,034</w:t>
            </w:r>
          </w:p>
        </w:tc>
        <w:tc>
          <w:tcPr>
            <w:tcW w:w="1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71,212</w:t>
            </w:r>
          </w:p>
        </w:tc>
        <w:tc>
          <w:tcPr>
            <w:tcW w:w="0" w:type="dxa"/>
            <w:vAlign w:val="bottom"/>
          </w:tcPr>
          <w:p>
            <w:pPr>
              <w:spacing w:after="0"/>
              <w:rPr>
                <w:sz w:val="1"/>
                <w:szCs w:val="1"/>
                <w:color w:val="auto"/>
              </w:rPr>
            </w:pPr>
          </w:p>
        </w:tc>
      </w:tr>
      <w:tr>
        <w:trPr>
          <w:trHeight w:val="20"/>
        </w:trPr>
        <w:tc>
          <w:tcPr>
            <w:tcW w:w="69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96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8"/>
        </w:trPr>
        <w:tc>
          <w:tcPr>
            <w:tcW w:w="69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Intangible asset additions included in accounts payable and accrued expenses and other current liabilities</w:t>
            </w:r>
          </w:p>
        </w:tc>
        <w:tc>
          <w:tcPr>
            <w:tcW w:w="1380" w:type="dxa"/>
            <w:vAlign w:val="bottom"/>
            <w:tcBorders>
              <w:bottom w:val="single" w:sz="8" w:color="CFF0FC"/>
            </w:tcBorders>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FF0FC"/>
            </w:tcBorders>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0"/>
        </w:trPr>
        <w:tc>
          <w:tcPr>
            <w:tcW w:w="6960" w:type="dxa"/>
            <w:vAlign w:val="bottom"/>
            <w:tcBorders>
              <w:top w:val="single" w:sz="8" w:color="CFF0FC"/>
              <w:bottom w:val="single" w:sz="8" w:color="CFF0FC"/>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Property, equipment and software additions included in accounts payable and accrued expenses and other current</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60" w:type="dxa"/>
            <w:vAlign w:val="bottom"/>
            <w:vMerge w:val="continue"/>
          </w:tcPr>
          <w:p>
            <w:pPr>
              <w:spacing w:after="0"/>
              <w:rPr>
                <w:sz w:val="13"/>
                <w:szCs w:val="13"/>
                <w:color w:val="auto"/>
              </w:rPr>
            </w:pPr>
          </w:p>
        </w:tc>
        <w:tc>
          <w:tcPr>
            <w:tcW w:w="1380" w:type="dxa"/>
            <w:vAlign w:val="bottom"/>
          </w:tcPr>
          <w:p>
            <w:pPr>
              <w:jc w:val="right"/>
              <w:ind w:right="12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1400" w:type="dxa"/>
            <w:vAlign w:val="bottom"/>
          </w:tcPr>
          <w:p>
            <w:pPr>
              <w:jc w:val="right"/>
              <w:ind w:right="12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6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liabilities</w:t>
            </w:r>
          </w:p>
        </w:tc>
        <w:tc>
          <w:tcPr>
            <w:tcW w:w="1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60" w:type="dxa"/>
            <w:vAlign w:val="bottom"/>
            <w:tcBorders>
              <w:bottom w:val="single" w:sz="8" w:color="CFF0FC"/>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Cash paid for interest</w:t>
            </w:r>
          </w:p>
        </w:tc>
        <w:tc>
          <w:tcPr>
            <w:tcW w:w="1380" w:type="dxa"/>
            <w:vAlign w:val="bottom"/>
            <w:tcBorders>
              <w:bottom w:val="single" w:sz="8" w:color="CFF0FC"/>
            </w:tcBorders>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ectPr>
          <w:pgSz w:w="11900" w:h="16838" w:orient="portrait"/>
          <w:cols w:equalWidth="0" w:num="1">
            <w:col w:w="11220"/>
          </w:cols>
          <w:pgMar w:left="320" w:top="117" w:right="359" w:bottom="10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055"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Precision BioSciences,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25" w:lineRule="exact"/>
        <w:rPr>
          <w:sz w:val="20"/>
          <w:szCs w:val="20"/>
          <w:color w:val="auto"/>
        </w:rPr>
      </w:pPr>
    </w:p>
    <w:p>
      <w:pPr>
        <w:ind w:right="2360"/>
        <w:spacing w:after="0" w:line="503" w:lineRule="auto"/>
        <w:rPr>
          <w:sz w:val="20"/>
          <w:szCs w:val="20"/>
          <w:color w:val="auto"/>
        </w:rPr>
      </w:pPr>
      <w:r>
        <w:rPr>
          <w:rFonts w:ascii="Times New Roman" w:cs="Times New Roman" w:eastAsia="Times New Roman" w:hAnsi="Times New Roman"/>
          <w:sz w:val="18"/>
          <w:szCs w:val="18"/>
          <w:b w:val="1"/>
          <w:bCs w:val="1"/>
          <w:color w:val="auto"/>
        </w:rPr>
        <w:t>NOTE 1: DESCRIPTION OF BUSINESS AND SUMMARY OF SIGNIFICANT ACCOUNTING POLICIES Description of Business</w:t>
      </w: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Precision BioSciences, Inc. (the “Company”) was incorporated on January 26, 2006 under the laws of the State of Delaware and is based in Durham, North Carolina. The Company is a gene editing company dedicated to improving life by developing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therapies for genetic and infectious diseases with the application of the Company’s wholly-owned proprietary ARCUS genome editing platform.</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efforts to research and development activities, recruiting skilled personnel, establishing its intellectual property portfolio and providing general and administrative support for these operations. The Company is subject to a number of risks similar to those of other companies conducting early-stage research and development of product candidates. Principal among these risks are the Company’s dependence on key individuals and intellectual property, competition from other products and companies, and the technical risks associated with the successful research, development and clinical manufacturing of its product candidates. The Company’s success is dependent upon its ability to continue to raise additional capital in order to fund ongoing research and development, obtain regulatory approval of its products, successfully commercialize its products, generate revenue, meet its obligations, and, ultimately, attain profitable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and notes have been prepared pursuant to the rules and regulations of the Securities and Exchange Commission (“SEC”). Certain information and note disclosures normally included in the annual financial statements, prepared in accordance with accounting principles generally accepted in the U.S. (“GAAP”), have been condensed or omitted pursuant to those rules and regulations. These unaudited condensed financial statements should be read in conjunction with the Company’s audited financial statements and the notes thereto included in the Company’s Annual Report on Form 10-K for the fiscal year ended December 31, 2025, filed with the SEC on March 12, 2026.</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unaudited condensed financial statements have been prepared on the same basis as the audited financial statements. In the opinion of management, all adjustments, consisting only of normal recurring adjustments necessary for a fair presentation of the Company’s condensed financial position as of September 30, 2026 and its condensed results of operations and cash flows for the three and nine months ended September 30, 2026 and 2025, have been made. The Company’s condensed results of operations for the three and nine months ended September 30, 2026 are not necessarily indicative of the results of operations that may be expected for the year ending December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The Company’s complete listing of significant accounting policies is set forth in Note 1, </w:t>
      </w:r>
      <w:r>
        <w:rPr>
          <w:rFonts w:ascii="Times New Roman" w:cs="Times New Roman" w:eastAsia="Times New Roman" w:hAnsi="Times New Roman"/>
          <w:sz w:val="18"/>
          <w:szCs w:val="18"/>
          <w:i w:val="1"/>
          <w:iCs w:val="1"/>
          <w:color w:val="auto"/>
        </w:rPr>
        <w:t>Description of Business and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to the Notes to Condensed Financial Statements on its Annual Report on Form 10-K for the fiscal year ended December 31, 2025. There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no changes to these policies as of September 30,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to improve disclosures around an entity’s expenses. Upon adoption, companies will be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 in the notes to the financial statements a disaggregation of certain expense categories included within the expense captions on the face of the income statement. The standard is effective for annual periods beginning after December 15, 2026 and interim periods beginning after December 15, 2027, with early adoption permitted, and can be applied either prospectively or retrospectively.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 plans to adopt the standard in the year ending December 31, 2027 and is currently assessing its effect on the Company’s financial statement disclosures.</w:t>
      </w:r>
    </w:p>
    <w:p>
      <w:pPr>
        <w:spacing w:after="0" w:line="200" w:lineRule="exact"/>
        <w:rPr>
          <w:sz w:val="20"/>
          <w:szCs w:val="20"/>
          <w:color w:val="auto"/>
        </w:rPr>
      </w:pPr>
    </w:p>
    <w:p>
      <w:pPr>
        <w:spacing w:after="0" w:line="34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17" w:right="7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5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047"/>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40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represents assets and liabilities measured at fair value on a recurring basis by the Company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7"/>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24"/>
                <w:szCs w:val="24"/>
                <w:color w:val="auto"/>
              </w:rPr>
            </w:pP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57"/>
        </w:trPr>
        <w:tc>
          <w:tcPr>
            <w:tcW w:w="1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60" w:type="dxa"/>
            <w:vAlign w:val="bottom"/>
            <w:tcBorders>
              <w:top w:val="single" w:sz="8" w:color="auto"/>
            </w:tcBorders>
            <w:shd w:val="clear" w:color="auto" w:fill="CCEEFF"/>
          </w:tcPr>
          <w:p>
            <w:pPr>
              <w:spacing w:after="0"/>
              <w:rPr>
                <w:sz w:val="22"/>
                <w:szCs w:val="22"/>
                <w:color w:val="auto"/>
              </w:rPr>
            </w:pPr>
          </w:p>
        </w:tc>
        <w:tc>
          <w:tcPr>
            <w:tcW w:w="36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r>
      <w:tr>
        <w:trPr>
          <w:trHeight w:val="247"/>
        </w:trPr>
        <w:tc>
          <w:tcPr>
            <w:tcW w:w="508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15,699</w:t>
            </w:r>
          </w:p>
        </w:tc>
        <w:tc>
          <w:tcPr>
            <w:tcW w:w="1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15,699</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0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in iECURE</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r>
      <w:tr>
        <w:trPr>
          <w:trHeight w:val="250"/>
        </w:trPr>
        <w:tc>
          <w:tcPr>
            <w:tcW w:w="508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6"/>
                <w:szCs w:val="16"/>
                <w:color w:val="auto"/>
              </w:rPr>
              <w:t>Imugene Marketable Securities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5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60" w:type="dxa"/>
            <w:vAlign w:val="bottom"/>
            <w:shd w:val="clear" w:color="auto" w:fill="CCEEFF"/>
          </w:tcPr>
          <w:p>
            <w:pPr>
              <w:spacing w:after="0"/>
              <w:rPr>
                <w:sz w:val="22"/>
                <w:szCs w:val="22"/>
                <w:color w:val="auto"/>
              </w:rPr>
            </w:pPr>
          </w:p>
        </w:tc>
        <w:tc>
          <w:tcPr>
            <w:tcW w:w="3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7"/>
        </w:trPr>
        <w:tc>
          <w:tcPr>
            <w:tcW w:w="508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Final payment fee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50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23,969</w:t>
            </w:r>
          </w:p>
        </w:tc>
      </w:tr>
      <w:tr>
        <w:trPr>
          <w:trHeight w:val="250"/>
        </w:trPr>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24,157</w:t>
            </w:r>
          </w:p>
        </w:tc>
        <w:tc>
          <w:tcPr>
            <w:tcW w:w="1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23,969</w:t>
            </w:r>
          </w:p>
        </w:tc>
      </w:tr>
      <w:tr>
        <w:trPr>
          <w:trHeight w:val="27"/>
        </w:trPr>
        <w:tc>
          <w:tcPr>
            <w:tcW w:w="49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r>
      <w:tr>
        <w:trPr>
          <w:trHeight w:val="689"/>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24"/>
                <w:szCs w:val="24"/>
                <w:color w:val="auto"/>
              </w:rPr>
            </w:pP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57"/>
        </w:trPr>
        <w:tc>
          <w:tcPr>
            <w:tcW w:w="1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60" w:type="dxa"/>
            <w:vAlign w:val="bottom"/>
            <w:tcBorders>
              <w:top w:val="single" w:sz="8" w:color="auto"/>
            </w:tcBorders>
            <w:shd w:val="clear" w:color="auto" w:fill="CCEEFF"/>
          </w:tcPr>
          <w:p>
            <w:pPr>
              <w:spacing w:after="0"/>
              <w:rPr>
                <w:sz w:val="22"/>
                <w:szCs w:val="22"/>
                <w:color w:val="auto"/>
              </w:rPr>
            </w:pPr>
          </w:p>
        </w:tc>
        <w:tc>
          <w:tcPr>
            <w:tcW w:w="36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r>
      <w:tr>
        <w:trPr>
          <w:trHeight w:val="247"/>
        </w:trPr>
        <w:tc>
          <w:tcPr>
            <w:tcW w:w="508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15,286</w:t>
            </w:r>
          </w:p>
        </w:tc>
        <w:tc>
          <w:tcPr>
            <w:tcW w:w="1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15,286</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0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in iECURE</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r>
      <w:tr>
        <w:trPr>
          <w:trHeight w:val="250"/>
        </w:trPr>
        <w:tc>
          <w:tcPr>
            <w:tcW w:w="508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6"/>
                <w:szCs w:val="16"/>
                <w:color w:val="auto"/>
              </w:rPr>
              <w:t>Imugene Marketable Securities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56"/>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60" w:type="dxa"/>
            <w:vAlign w:val="bottom"/>
            <w:shd w:val="clear" w:color="auto" w:fill="CCEEFF"/>
          </w:tcPr>
          <w:p>
            <w:pPr>
              <w:spacing w:after="0"/>
              <w:rPr>
                <w:sz w:val="22"/>
                <w:szCs w:val="22"/>
                <w:color w:val="auto"/>
              </w:rPr>
            </w:pPr>
          </w:p>
        </w:tc>
        <w:tc>
          <w:tcPr>
            <w:tcW w:w="3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7"/>
        </w:trPr>
        <w:tc>
          <w:tcPr>
            <w:tcW w:w="508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Final payment fee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50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15,695</w:t>
            </w:r>
          </w:p>
        </w:tc>
      </w:tr>
      <w:tr>
        <w:trPr>
          <w:trHeight w:val="250"/>
        </w:trPr>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15,903</w:t>
            </w:r>
          </w:p>
        </w:tc>
        <w:tc>
          <w:tcPr>
            <w:tcW w:w="1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15,695</w:t>
            </w:r>
          </w:p>
        </w:tc>
      </w:tr>
      <w:tr>
        <w:trPr>
          <w:trHeight w:val="27"/>
        </w:trPr>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-2973705</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-2973705</wp:posOffset>
            </wp:positionV>
            <wp:extent cx="59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-2973705</wp:posOffset>
            </wp:positionV>
            <wp:extent cx="59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-3145155</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-3145155</wp:posOffset>
            </wp:positionV>
            <wp:extent cx="59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-3145155</wp:posOffset>
            </wp:positionV>
            <wp:extent cx="59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-3805555</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-3805555</wp:posOffset>
            </wp:positionV>
            <wp:extent cx="59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-3805555</wp:posOffset>
            </wp:positionV>
            <wp:extent cx="59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-3805555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-847725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-847725</wp:posOffset>
            </wp:positionV>
            <wp:extent cx="596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-847725</wp:posOffset>
            </wp:positionV>
            <wp:extent cx="59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-1679575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-1679575</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-1679575</wp:posOffset>
            </wp:positionV>
            <wp:extent cx="5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-1679575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The following represents a reconciliation of assets measured and carried at fair value on a recurring basis with the use of significant unobservable inputs (Level 3) for the nine months ended September 30, 2026 (in thousands). The warrant reconciliation is disclosed in Note 11,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Investment in iECURE</w:t>
            </w:r>
          </w:p>
        </w:tc>
      </w:tr>
      <w:tr>
        <w:trPr>
          <w:trHeight w:val="256"/>
        </w:trPr>
        <w:tc>
          <w:tcPr>
            <w:tcW w:w="8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December 31, 2025</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w:t>
            </w:r>
          </w:p>
        </w:tc>
      </w:tr>
      <w:tr>
        <w:trPr>
          <w:trHeight w:val="250"/>
        </w:trPr>
        <w:tc>
          <w:tcPr>
            <w:tcW w:w="820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(Loss) gain from changes in fair value included in earnings</w:t>
            </w:r>
          </w:p>
        </w:tc>
        <w:tc>
          <w:tcPr>
            <w:tcW w:w="4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5"/>
        </w:trPr>
        <w:tc>
          <w:tcPr>
            <w:tcW w:w="82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September 30, 2026</w:t>
            </w: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w:t>
            </w:r>
          </w:p>
        </w:tc>
      </w:tr>
      <w:tr>
        <w:trPr>
          <w:trHeight w:val="20"/>
        </w:trPr>
        <w:tc>
          <w:tcPr>
            <w:tcW w:w="7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2620" w:type="dxa"/>
            <w:vAlign w:val="bottom"/>
            <w:tcBorders>
              <w:top w:val="single" w:sz="8" w:color="CFF0FC"/>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accounts receivable, accounts payable, and accrued expenses and other current liabilities, approximate their respective fair values due to their short-term nature. The Company uses a three-tier fair value hierarchy to classify and disclose all assets and liabilities measured at fair value on a recurring basis and to minimize the use of unobservable inputs when determining their fair value. The three tiers are defined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1—Observable inputs based on unadjusted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2—Inputs, other than quoted prices in active markets, which are observable either directly or indirectly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for which there is little or no market data, which require the Company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31, 2024, the Company entered into an amended and restated loan and security agreement (the “2024 Loan and Security Agreement”) with Banc of California pursuant to which Banc of California provided the Company with a term loan with a principal amount of $22.5 million (the “2024 Term Loan”). The 2024 Term Loan bears interest at an annual rate equal to the greater of (i) 1.50% below the Prime Rate (as defined in the 2024 Loan and Security Agreement) then in effect or (ii) 4.50%. On June 10, 2026, the Company and Banc of California entered into a First Amendment to Amended and Restated Loan and Security Agreement (the “First Amendment”). The First Amendment amended the 2024 Term Loan between the Company and Banc of California (as amended, including the First Amendment, the “Loan and Security Agreement”). The First Amendment extended the maturity date of the Term Loan, as defined in the Loan and Security Agreement, from June 30, 2027 to December 31, 2029. As of September 30, 2026, the stated interest rate on the Loan and Security Agreement was 5.50% and the effective interest rate was 5.69%.</w:t>
      </w:r>
    </w:p>
    <w:p>
      <w:pPr>
        <w:spacing w:after="0" w:line="1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Additionally, as of September 30, 2026, $22.5 million in borrowings were outstanding under the Loan and Security Agreement and the unamortized debt discount balance was less than $0.1 million.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Company’s audited financial statements included in the Company’s Annual Report for the fiscal year ended December 31, 2025, for more information related to the Loan and Security Agreement.</w:t>
      </w:r>
    </w:p>
    <w:p>
      <w:pPr>
        <w:spacing w:after="0" w:line="3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legal matters and claims in the ordinary course of business. Although the results of legal proceedings and claims cannot be predicted with certainty, in the opinion of management, there are currently no such known matters that will have a material effect on the financial condition, results of operations or cash flows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Servier Program Purchase Agreement</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April 9, 2021, the Company entered into a program purchase agreement (the “Program Purchase Agreement”) with Les Laboratoires Servier and Institut de Recherches Internationales Servier (collectively, “Servier”), pursuant to which the Company reacquired all of its global development and commercialization rights previously granted to Servier pursuant to the Development and Commercial License Agreement by and between Servier and the Company, dated February 24, 2016, as amended (the “Servier Agreement”), and mutually terminated the Servier Agreement.</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Program Purchase Agreement requires the Company to make certain payments to Servier based on the achievement of regulatory and commercial milestones for each product. Management assessed the likelihood of each of the regulatory and commercial milestones included in the Program Purchase Agreement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If the assessment of a contingency indicates that it is probable that the milestone will be achieved and the amount of the liability can be estimated, then the estimated liability would be accrued in the Company’s condensed financial statements.</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Accordingly, contingent liabilities of $10.0 million related to the Program Purchase Agreement are accrued and included in contract liabilities in the condensed balance sheets as of September 30, 2026 and December 31, 2025.</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an operating lease for real estate in North Carolina and does not have any finance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elements of lease expense were as follows: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5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Cost</w:t>
            </w:r>
          </w:p>
        </w:tc>
        <w:tc>
          <w:tcPr>
            <w:tcW w:w="4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47"/>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cost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tcPr>
          <w:p>
            <w:pPr>
              <w:spacing w:after="0"/>
              <w:rPr>
                <w:sz w:val="21"/>
                <w:szCs w:val="21"/>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1,447</w:t>
            </w:r>
          </w:p>
        </w:tc>
      </w:tr>
      <w:tr>
        <w:trPr>
          <w:trHeight w:val="266"/>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Short-term lease cost</w:t>
            </w:r>
          </w:p>
        </w:tc>
        <w:tc>
          <w:tcPr>
            <w:tcW w:w="40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586</w:t>
            </w:r>
          </w:p>
        </w:tc>
      </w:tr>
      <w:tr>
        <w:trPr>
          <w:trHeight w:val="247"/>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Variable lease cost</w:t>
            </w:r>
          </w:p>
        </w:tc>
        <w:tc>
          <w:tcPr>
            <w:tcW w:w="400" w:type="dxa"/>
            <w:vAlign w:val="bottom"/>
          </w:tcPr>
          <w:p>
            <w:pPr>
              <w:spacing w:after="0"/>
              <w:rPr>
                <w:sz w:val="21"/>
                <w:szCs w:val="21"/>
                <w:color w:val="auto"/>
              </w:rPr>
            </w:pP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353</w:t>
            </w:r>
          </w:p>
        </w:tc>
      </w:tr>
      <w:tr>
        <w:trPr>
          <w:trHeight w:val="260"/>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Sublease income</w:t>
            </w:r>
          </w:p>
        </w:tc>
        <w:tc>
          <w:tcPr>
            <w:tcW w:w="4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2,386</w:t>
            </w:r>
          </w:p>
        </w:tc>
      </w:tr>
      <w:tr>
        <w:trPr>
          <w:trHeight w:val="21"/>
        </w:trPr>
        <w:tc>
          <w:tcPr>
            <w:tcW w:w="6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9"/>
        </w:trPr>
        <w:tc>
          <w:tcPr>
            <w:tcW w:w="6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4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Information</w:t>
            </w:r>
          </w:p>
        </w:tc>
        <w:tc>
          <w:tcPr>
            <w:tcW w:w="4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66"/>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cash flows used for operating leases</w:t>
            </w:r>
          </w:p>
        </w:tc>
        <w:tc>
          <w:tcPr>
            <w:tcW w:w="40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1,463</w:t>
            </w:r>
          </w:p>
        </w:tc>
      </w:tr>
      <w:tr>
        <w:trPr>
          <w:trHeight w:val="216"/>
        </w:trPr>
        <w:tc>
          <w:tcPr>
            <w:tcW w:w="6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57"/>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40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47"/>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4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6"/>
        </w:trPr>
        <w:tc>
          <w:tcPr>
            <w:tcW w:w="6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4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4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66"/>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4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with terms of greater than one year as of September 30, 2026, were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56"/>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(remainder of year)</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47"/>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w:t>
            </w:r>
          </w:p>
        </w:tc>
      </w:tr>
      <w:tr>
        <w:trPr>
          <w:trHeight w:val="266"/>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20" w:type="dxa"/>
            <w:vAlign w:val="bottom"/>
            <w:shd w:val="clear" w:color="auto" w:fill="CFF0FC"/>
          </w:tcPr>
          <w:p>
            <w:pPr>
              <w:spacing w:after="0"/>
              <w:rPr>
                <w:sz w:val="23"/>
                <w:szCs w:val="2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2,140</w:t>
            </w:r>
          </w:p>
        </w:tc>
      </w:tr>
      <w:tr>
        <w:trPr>
          <w:trHeight w:val="250"/>
        </w:trPr>
        <w:tc>
          <w:tcPr>
            <w:tcW w:w="9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w:t>
            </w:r>
          </w:p>
        </w:tc>
      </w:tr>
      <w:tr>
        <w:trPr>
          <w:trHeight w:val="257"/>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50"/>
        </w:trPr>
        <w:tc>
          <w:tcPr>
            <w:tcW w:w="918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Less: imputed interest</w:t>
            </w:r>
          </w:p>
        </w:tc>
        <w:tc>
          <w:tcPr>
            <w:tcW w:w="4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75"/>
        </w:trPr>
        <w:tc>
          <w:tcPr>
            <w:tcW w:w="9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5,295</w:t>
            </w:r>
          </w:p>
        </w:tc>
      </w:tr>
      <w:tr>
        <w:trPr>
          <w:trHeight w:val="20"/>
        </w:trPr>
        <w:tc>
          <w:tcPr>
            <w:tcW w:w="9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640" w:type="dxa"/>
            <w:vAlign w:val="bottom"/>
            <w:tcBorders>
              <w:top w:val="single" w:sz="8" w:color="CFF0FC"/>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Agreements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manufacturing organizations (“CMOs”) for the manufacture of clinical trial materials and contract research organizations (“CROs”) for clinical trial services. These agreements provide for termination at the request of either party with less than one-year’s notice and are, therefore, cancellable contracts. If canceled, these agreements are not anticipated to have a material effect on the financial condition, results of operations, or cash flows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Compensatory Arrangements of Certain Officers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26, 2025, the Company entered into amended and restated employment agreements that included, among other things, a requirement to fund the cash severance and expenses in an escrow account. Such agreements were entered into to help retain each of its then-serving executive officers: Michael Amoroso, the Company’s President and Chief Executive Officer; Alex Kelly, the Company’s then Chief Financial Officer (who has served as the Company’s Chief Operating Officer since August 1, 2026); Dario Scimeca, the Company’s then General Counsel and Secretary (who has served as the Company’s Chief Legal Officer and Corporate Secretary since August 1, 2026); and Jeff Smith, the Company’s Chief Research Officer. As a result, the Company entered into escrow arrangements with JPMorgan Chase Bank, N.A. and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executives with respect to the funded amounts. Interest earned from the escrow account accrues to the Company and any unused funds return to the Company. As of September 30, 2026, the escrow account cash balance was $3.8 million.</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March 1, 2024, the Company entered into an underwriting agreement relating to a public offering of (i) 2,500,000 shares of the Company’s common stock, par value $0.000005 per share, and (ii) warrants to purchase up to an aggregate of 2,500,000 shares of the Company’s common stock (the “March 2024 Public Offering”). The warrants have a five-year term and an exercise price of $20.00 per share. Each warrant is exercisable immediately upon issuance, subject to certain limitations on beneficial ownership. The price to the public in the March 2024 Public Offering was $16.00 per share of common stock and accompanying warrants, which resulted in approximately $37.0 million of net proceeds to the Company after deducting the underwriting discount and offering expenses of approximately $3.0 million.</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10, 2025, the Company entered into an underwriting agreement relating to the issuance and sale of 10,815,000 shares of the Company’s common stock, par value $0.000005 per share, and accompanying one-half warrants to purchase up to 5,407,500 shares of the Company’s common stock at a combined price of $6.14 per share. Further, in lieu of common stock to certain investors, the Company issued pre-funded warrants to purchase up to 1,400,000 shares of the Company’s common stock and accompanying one-half warrants to purchase up to 700,000 shares of the Company’s common stock at a combined price of $6.139995 per share. Each whole warrant has a five-year term and an exercise price of $7.25 per share. The offering resulted in approximately $70.0 million of net proceeds to the Company after deducting the underwriting discount and offering expenses of approximately $5.0 million. During the nine months ended September 30, 2026, pre-funded warrants were exercised to purchase 1,400,000 shares of the Company’s common stock. No pre-funded warrants remained outstanding as of September 30, 2026.</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COLLABORATION AND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 Therapeutics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January 7, 2024, the Company entered into a license agreement (the “TG License Agreement”) with TG Cell Therapy, Inc. (“TG Subsidiary”) and its parent company TG Therapeutics, Inc. (“TG Parent” and, together with TG Subsidiary, “TG Therapeutics”), pursuant to which the Company granted TG Subsidiary certain exclusive and non-exclusive license rights to develop, manufacture, and commercialize azer-cel for autoimmune diseases and other indications outside of cancer pursuant to the terms of the TG License Agreement.</w:t>
      </w:r>
    </w:p>
    <w:p>
      <w:pPr>
        <w:spacing w:after="0" w:line="18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Under the TG License Agreement, the Company received an upfront cash payment of $10.0 million (the “Upfront Payment”) comprised of (i) a $5.25 million cash payment that was paid to the Company on February 5, 2024, (ii) a $2.25 million cash payment that was paid to the Company on February 5, 2024 in exchange for 97,360 shares of the Company’s common stock, based on a price per share equal to a 100% premium to the VWAP of the Company’s common stock for the 30 trading days prior to the date of the TG License Agreement, and (iii) a deferred cash payment of $2.5 million that was paid to the Company on January 6, 2025 in exchange for 220,712 shares of the Company’s common stock at a price per share of $11.33, which represented a 100% premium to the VWAP of the Company’s common stock for the 30 trading days prior to the date of payment. The Company also received a cash payment of $7.5 million from TG Therapeutics on March 12, 2026 following the achievement of a clinical milestone (the “Initial Milestone Payment”). The Initial Milestone payment of $7.5 million consisted of (i) $5.25 million cash milestone payment and (ii) a $2.25 million cash payment in exchange for 201,504 shares of the Company’s common stock based on the minimum price of $11.1660 determined in accordance with Nasdaq Listing Rule 5635(d). The Company is also entitled to receive additional payments upon the achievement of additional specified milestones of up to $288.6 million.</w:t>
      </w:r>
    </w:p>
    <w:p>
      <w:pPr>
        <w:spacing w:after="0" w:line="1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201,504 shares purchased at a purchase price of $11.1660 per share in connection with the Initial Milestone represented a premium paid over the Company’s stock value at the milestone achievement date. Management concluded that the stock premium was to be combined with the cash consideration received in connection with the achievement of the milestone in accordance with ASC 606. Of the total $7.5 million received for the Initial Milestone achievement, the Company applied equity accounting guidance to measure the $0.7 million recorded in equity upon issuance of the shares, and $6.8 million was identified as the transaction price of the milestone that would be allocated to revenue. As such, during the nine months ended September 30, 2026, the Company recognized $6.8 million revenue under the TG License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During the nine months ended September 30, 2025, the Company recognized no revenue under the TG License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 with Novartis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recognized no revenue under the collaboration and license agreement between the Company and Novartis Pharma AG (the “Novartis Agreement”) as the Novartis Agreement was terminated in the prior year. During the nine months ended September 30, 2025, the Company recognized revenue under the Novartis Agreement of less than $0.1 million. There is no deferred revenue related to the Novartis Agreement as of September 30, 2026 or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and License Agreement with iECURE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adjusts the carrying value of the iECURE, Inc. (“iECURE”) equity to fair value each reporting period with any changes in fair value recorded to other (expense) income. There was no change in the fair value of the iECURE equity during the nine months ended September 30, 2026 and a $2.5 million decrease in the fair value of the iECURE equity during the nine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License Agreement with an Agriculture Industry Collaboration Partner</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recognized $4.0 million in revenue under a legacy ARCUS gene editing research and license agreement milestone from an agriculture industry collaboration partner. The collaboration was concluded in April 2026.</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previously granted stock options under its 2015 Stock Incentive Plan (the “2015 Plan”). As of September 30, 2026 there were 15,549 stock options outstanding under the 2015 Plan and no remaining stock options available to be granted under the 2015 Plan.</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2019 Incentive Award Plan (as amended and restated, the “2019 Plan”) provides for the grant of incentive stock options, non-qualified stock options, stock appreciation rights, restricted stock, restricted stock units and other share-based awards. The 2019 Plan had 35,626 stock options and 2,899,866 restricted stock units (“RSUs”) outstanding as of September 30, 2026.</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number of shares available for issuance under the 2019 Plan initially equaled 158,333 shares of common stock. The 2019 Plan provides for an annual increase to the number of shares of common stock available for issuance on the first day of each calendar year beginning January 1, 2020 and ending on and including January 1, 2029 by an amount equal to the lesser of (i) 4% of the aggregate number of shares of common stock outstanding on the final day of the immediately preceding calendar year and (ii) such smaller number of shares of common stock as determined by the board of directors. As of September 30, 2026, the aggregate number of shares available for issuance under the 2019 Plan has been increased by 1,825,822 pursuant to this provision. Additionally, the number of shares available for issuance under the plan was increased by an additional 630,000 shares in connection with the amendment and restatement of the 2019 Plan approved at the Company’s annual meeting of stockholders on June 4, 2024 and by an additional 3,800,000 shares in connection with the amendment and restatement of the 2019 Plan approved at the Company’s annual meeting of stockholders on May 21, 2026. Any shares that are subject to awards outstanding under the Company’s 2006 Plan and 2015 Plan as of the effective date of the 2019 Plan that expire, lapse, or are terminated, exchanged for cash, surrendered, repurchased, or canceled without having been fully exercised or forfeited, to the extent so unused, will become available for award grants under the 2019 Plan. As of September 30, 2026, 2,317,512 shares were available to be issued under the 2019 Plan.</w:t>
      </w:r>
    </w:p>
    <w:p>
      <w:pPr>
        <w:spacing w:after="0" w:line="19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purchase price of the shares under the 2019 ESPP, in the absence of a contrary designation, will be 85% of the lower of the fair market value of our common stock on the first trading day of the offering period or on the purchase date. As of September 30, 2026, we had issued 158,329 shares under the 2019 ESPP. As of September 30, 2026, 315,625 shares were available to be issued under the 2019 ESPP. The Company recognized share-based compensation expense related to the 2019 ESPP of less than $0.1 million during each of the nine months ended September 30, 2026 and the nine months ended September 30, 2025.</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2021 Employment Inducement Incentive Award Plan (as amended, the “Inducement Award Plan”) provides for the grant of non-qualified stock options, stock appreciation rights, restricted stock, RSUs and other share-based awards to newly hired employees who have not previously been an employee or member of the board, or an employee who is being rehired following a bona fide period of non-employment by the Company. No more than 1,100,000 shares of the Company’s common stock may be issued under the Inducement Award Plan. As of September 30, 2026, 863,426 shares were available to be issued under the Inducement Award Plan. The Inducement Award Plan had 94,938 stock options and 128,426 RSUs outstanding as of September 30,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employee and nonemployee share-based compensation expense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40" w:type="dxa"/>
            <w:vAlign w:val="bottom"/>
          </w:tcPr>
          <w:p>
            <w:pPr>
              <w:spacing w:after="0"/>
              <w:rPr>
                <w:sz w:val="19"/>
                <w:szCs w:val="19"/>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28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1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5,876</w:t>
            </w:r>
          </w:p>
        </w:tc>
        <w:tc>
          <w:tcPr>
            <w:tcW w:w="2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7,606</w:t>
            </w:r>
          </w:p>
        </w:tc>
      </w:tr>
      <w:tr>
        <w:trPr>
          <w:trHeight w:val="250"/>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Nonemployee</w:t>
            </w:r>
          </w:p>
        </w:tc>
        <w:tc>
          <w:tcPr>
            <w:tcW w:w="1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4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75"/>
        </w:trPr>
        <w:tc>
          <w:tcPr>
            <w:tcW w:w="28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6,351</w:t>
            </w:r>
          </w:p>
        </w:tc>
        <w:tc>
          <w:tcPr>
            <w:tcW w:w="2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8,145</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-33655</wp:posOffset>
            </wp:positionV>
            <wp:extent cx="1543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-205105</wp:posOffset>
            </wp:positionV>
            <wp:extent cx="154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-539115</wp:posOffset>
            </wp:positionV>
            <wp:extent cx="154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is included in the following line items in the condensed statements of operations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spacing w:after="0"/>
              <w:rPr>
                <w:sz w:val="19"/>
                <w:szCs w:val="19"/>
                <w:color w:val="auto"/>
              </w:rPr>
            </w:pPr>
          </w:p>
        </w:tc>
        <w:tc>
          <w:tcPr>
            <w:tcW w:w="3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Borders>
              <w:bottom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2800" w:type="dxa"/>
            <w:vAlign w:val="bottom"/>
            <w:tcBorders>
              <w:bottom w:val="single" w:sz="8" w:color="CFF0FC"/>
            </w:tcBorders>
          </w:tcPr>
          <w:p>
            <w:pPr>
              <w:spacing w:after="0"/>
              <w:rPr>
                <w:sz w:val="21"/>
                <w:szCs w:val="21"/>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7"/>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2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16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24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w:t>
            </w:r>
          </w:p>
        </w:tc>
      </w:tr>
      <w:tr>
        <w:trPr>
          <w:trHeight w:val="250"/>
        </w:trPr>
        <w:tc>
          <w:tcPr>
            <w:tcW w:w="28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240" w:type="dxa"/>
            <w:vAlign w:val="bottom"/>
            <w:tcBorders>
              <w:bottom w:val="single" w:sz="8" w:color="CFF0FC"/>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1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24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6,780</w:t>
            </w:r>
          </w:p>
        </w:tc>
      </w:tr>
      <w:tr>
        <w:trPr>
          <w:trHeight w:val="275"/>
        </w:trPr>
        <w:tc>
          <w:tcPr>
            <w:tcW w:w="28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2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16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6,351</w:t>
            </w:r>
          </w:p>
        </w:tc>
        <w:tc>
          <w:tcPr>
            <w:tcW w:w="24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8,145</w:t>
            </w:r>
          </w:p>
        </w:tc>
      </w:tr>
      <w:tr>
        <w:trPr>
          <w:trHeight w:val="20"/>
        </w:trPr>
        <w:tc>
          <w:tcPr>
            <w:tcW w:w="28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-33655</wp:posOffset>
            </wp:positionV>
            <wp:extent cx="154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-205105</wp:posOffset>
            </wp:positionV>
            <wp:extent cx="1543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-539115</wp:posOffset>
            </wp:positionV>
            <wp:extent cx="1543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in the Company’s stock option plans for the nine months ended September 30, 2026:</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80" w:type="dxa"/>
            <w:vAlign w:val="bottom"/>
            <w:tcBorders>
              <w:bottom w:val="single" w:sz="8" w:color="CFF0FC"/>
            </w:tcBorders>
          </w:tcPr>
          <w:p>
            <w:pPr>
              <w:spacing w:after="0"/>
              <w:rPr>
                <w:sz w:val="19"/>
                <w:szCs w:val="19"/>
                <w:color w:val="auto"/>
              </w:rPr>
            </w:pPr>
          </w:p>
        </w:tc>
        <w:tc>
          <w:tcPr>
            <w:tcW w:w="27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Outstanding Option Shares</w:t>
            </w:r>
          </w:p>
        </w:tc>
        <w:tc>
          <w:tcPr>
            <w:tcW w:w="660" w:type="dxa"/>
            <w:vAlign w:val="bottom"/>
            <w:tcBorders>
              <w:bottom w:val="single" w:sz="8" w:color="auto"/>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Weighted-Average Exercise Price</w:t>
            </w:r>
          </w:p>
        </w:tc>
      </w:tr>
      <w:tr>
        <w:trPr>
          <w:trHeight w:val="256"/>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168,993</w:t>
            </w:r>
          </w:p>
        </w:tc>
        <w:tc>
          <w:tcPr>
            <w:tcW w:w="6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165.54</w:t>
            </w:r>
          </w:p>
        </w:tc>
      </w:tr>
      <w:tr>
        <w:trPr>
          <w:trHeight w:val="247"/>
        </w:trPr>
        <w:tc>
          <w:tcPr>
            <w:tcW w:w="66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6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Exercised</w:t>
            </w:r>
          </w:p>
        </w:tc>
        <w:tc>
          <w:tcPr>
            <w:tcW w:w="126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3"/>
                <w:szCs w:val="23"/>
                <w:color w:val="auto"/>
              </w:rPr>
            </w:pP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Forfeited/canceled</w:t>
            </w:r>
          </w:p>
        </w:tc>
        <w:tc>
          <w:tcPr>
            <w:tcW w:w="27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(22,880)</w:t>
            </w:r>
          </w:p>
        </w:tc>
        <w:tc>
          <w:tcPr>
            <w:tcW w:w="6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255.83</w:t>
            </w:r>
          </w:p>
        </w:tc>
      </w:tr>
      <w:tr>
        <w:trPr>
          <w:trHeight w:val="270"/>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2026</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146,113</w:t>
            </w:r>
          </w:p>
        </w:tc>
        <w:tc>
          <w:tcPr>
            <w:tcW w:w="600" w:type="dxa"/>
            <w:vAlign w:val="bottom"/>
            <w:shd w:val="clear" w:color="auto" w:fill="CFF0FC"/>
          </w:tcPr>
          <w:p>
            <w:pPr>
              <w:spacing w:after="0"/>
              <w:rPr>
                <w:sz w:val="23"/>
                <w:szCs w:val="23"/>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151.40</w:t>
            </w: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fair value of each RSU was determined based on the closing market price of the Company’s common stock on the date of grant. The fair value of the RSUs will be recognized as expense over the requisite vesting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nine months ended September 30, 2026:</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40" w:type="dxa"/>
            <w:vAlign w:val="bottom"/>
          </w:tcPr>
          <w:p>
            <w:pPr>
              <w:spacing w:after="0"/>
              <w:rPr>
                <w:sz w:val="19"/>
                <w:szCs w:val="19"/>
                <w:color w:val="auto"/>
              </w:rPr>
            </w:pPr>
          </w:p>
        </w:tc>
        <w:tc>
          <w:tcPr>
            <w:tcW w:w="24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b w:val="1"/>
                <w:bCs w:val="1"/>
                <w:color w:val="auto"/>
              </w:rPr>
              <w:t>RSU Awards</w:t>
            </w: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w:t>
            </w:r>
          </w:p>
        </w:tc>
      </w:tr>
      <w:tr>
        <w:trPr>
          <w:trHeight w:val="24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Unvested RSUs as of December 31,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1,623,933</w:t>
            </w:r>
          </w:p>
        </w:tc>
        <w:tc>
          <w:tcPr>
            <w:tcW w:w="16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3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66"/>
        </w:trPr>
        <w:tc>
          <w:tcPr>
            <w:tcW w:w="62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Granted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2,142,967</w:t>
            </w:r>
          </w:p>
        </w:tc>
        <w:tc>
          <w:tcPr>
            <w:tcW w:w="16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3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47"/>
        </w:trPr>
        <w:tc>
          <w:tcPr>
            <w:tcW w:w="6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Forfeited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(18,118)</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60"/>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Vested</w:t>
            </w:r>
          </w:p>
        </w:tc>
        <w:tc>
          <w:tcPr>
            <w:tcW w:w="24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(720,490)</w:t>
            </w:r>
          </w:p>
        </w:tc>
        <w:tc>
          <w:tcPr>
            <w:tcW w:w="16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3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w:t>
            </w:r>
          </w:p>
        </w:tc>
      </w:tr>
      <w:tr>
        <w:trPr>
          <w:trHeight w:val="25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Unvested RSUs as of September 30, 2026</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3,028,292</w:t>
            </w:r>
          </w:p>
        </w:tc>
        <w:tc>
          <w:tcPr>
            <w:tcW w:w="16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3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7"/>
        </w:trPr>
        <w:tc>
          <w:tcPr>
            <w:tcW w:w="3840" w:type="dxa"/>
            <w:vAlign w:val="bottom"/>
          </w:tcPr>
          <w:p>
            <w:pPr>
              <w:spacing w:after="0"/>
              <w:rPr>
                <w:sz w:val="2"/>
                <w:szCs w:val="2"/>
                <w:color w:val="auto"/>
              </w:rPr>
            </w:pPr>
          </w:p>
        </w:tc>
        <w:tc>
          <w:tcPr>
            <w:tcW w:w="24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3540" w:type="dxa"/>
            <w:vAlign w:val="bottom"/>
            <w:tcBorders>
              <w:top w:val="single" w:sz="8" w:color="auto"/>
              <w:bottom w:val="single" w:sz="8" w:color="auto"/>
            </w:tcBorders>
          </w:tcPr>
          <w:p>
            <w:pPr>
              <w:spacing w:after="0"/>
              <w:rPr>
                <w:sz w:val="2"/>
                <w:szCs w:val="2"/>
                <w:color w:val="auto"/>
              </w:rPr>
            </w:pPr>
          </w:p>
        </w:tc>
      </w:tr>
    </w:tbl>
    <w:p>
      <w:pPr>
        <w:spacing w:after="0" w:line="29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was approximately $15.8 million of total unrecognized compensation cost related to unvested stock options and RSUs as of September 30, 2026, which is expected to be recognized over a weighted-average period of 2.1 years.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estimates an annual effective tax rate of 0% for the year ending December 31, 2026 as the Company incurred losses for financial statement and tax purposes for the nine months ended September 30, 2026. The Company is forecasting additional net losses for financial statement and tax purposes for the remainder of the year ending December 31, 2026. Therefore, no federal or state income taxes are expected, and none have been recorded at this time. Income taxes have been accounted for using the liability method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Company had no unrecognized tax benefits that would reduce the Company’s effective tax rate if recognized.</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net loss for each respective period by the weighted-average number of common shares outstanding for each respective period. The Company computes diluted net loss per share after giving consideration to the dilutive effect of unvested RSUs, stock options, unsettled ESPP contributions, and warrants that are outstanding during the period, except where such securities would be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of basic and diluted net loss per share attributable to common stockholders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9"/>
                <w:szCs w:val="19"/>
                <w:color w:val="auto"/>
              </w:rPr>
            </w:pPr>
          </w:p>
        </w:tc>
        <w:tc>
          <w:tcPr>
            <w:tcW w:w="306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4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7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 thousands)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(7,586)</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(21,772)</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(58,679)</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weighted-average common shares</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27,433,353</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11,818,145</w:t>
            </w:r>
          </w:p>
        </w:tc>
        <w:tc>
          <w:tcPr>
            <w:tcW w:w="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25,985,060</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10,728,199</w:t>
            </w:r>
          </w:p>
        </w:tc>
      </w:tr>
      <w:tr>
        <w:trPr>
          <w:trHeight w:val="25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Dilutive impact of share-based awards</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weighted-average common shares (1)</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27,433,353</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11,818,145</w:t>
            </w:r>
          </w:p>
        </w:tc>
        <w:tc>
          <w:tcPr>
            <w:tcW w:w="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25,985,060</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10,728,199</w:t>
            </w:r>
          </w:p>
        </w:tc>
      </w:tr>
      <w:tr>
        <w:trPr>
          <w:trHeight w:val="256"/>
        </w:trPr>
        <w:tc>
          <w:tcPr>
            <w:tcW w:w="4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loss per share:</w:t>
            </w: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net loss per share</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4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9"/>
        </w:trPr>
        <w:tc>
          <w:tcPr>
            <w:tcW w:w="4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loss per share:</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250"/>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loss per share</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4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left="260" w:right="120" w:hanging="252"/>
        <w:spacing w:after="0" w:line="258" w:lineRule="auto"/>
        <w:tabs>
          <w:tab w:leader="none" w:pos="2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2026 and September 30, 2025, all outstanding total common stock equivalents were excluded from the diluted calculation as their inclusion would have been anti-dilutive. The Company excluded the following potential common shares, based on amounts outstanding at period end, from the computation of diluted net loss per share because including them would have had an anti-dilutive effect under the treasury stock method: 434,589 unvested RSUs, 1,116 unsettled ESPP contributions, and 464,921 warrants for the three months ended September 30, 2026 and 160,379 unvested RSUs and 748 unsettled ESPP contributions for the nine months ended September 30, 2026.</w:t>
      </w:r>
    </w:p>
    <w:p>
      <w:pPr>
        <w:spacing w:after="0" w:line="200" w:lineRule="exact"/>
        <w:rPr>
          <w:sz w:val="20"/>
          <w:szCs w:val="20"/>
          <w:color w:val="auto"/>
        </w:rPr>
      </w:pPr>
    </w:p>
    <w:p>
      <w:pPr>
        <w:spacing w:after="0" w:line="22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about which separate discrete financial information is available for evaluation by the chief operating decision maker or decision-making group (“CODM”) in making decisions on how to allocate resources and assess performance. The Company’s CODM, the Chief Executive Officer, views the Company’s operations as one operating segment, which includes the discovery and development of therapies utilizing our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novel proprietary ARCUS platform. Our clinical and preclinical candidates were developed using the ARCUS platform to treat various forms of infectious and genetic disease.</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not generated any revenue from product sales to date and expects to incur significant expenses and operating losses for the foreseeable future as it advances product candidates through development and clinical trials. As such, the CODM uses cash forecast models in managing and allocating resources on a total company basis, such as pursuing clinical development or entering into potential strategic collaborations. The CODM assesses the overall level of resources available and how to best deploy these resources across functions and research and development projects that are in line with the Company’s long-term strategic goals.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Consistent with its management reporting, results of operations are reported on a Company-wide basis for purposes of segment reporting. The CODM uses Company-wide financial information, including net income (loss) and comprehensive income (loss), net cash used in operating activities for the period, and cash on hand for purposes of evaluating operating results and performance. As the Company operates in one operating segment, all measures of the segment assets are reported on the balance sheets as total assets. Please refer to the financial statements for further information related to these measures of segment performance.</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tables below summarize the significant research and development and general and administrative expense categories regularly provided to the CODM for the three months ended September 30, 2026 and September 30, 2025 and the nine months ended September 30, 2026 and September 30, 2025. Due to the pause in development of the PBGENE-3243 program to prioritize the Company’s two lead programs, PBGENE-HBV and PBGENE-DMD, expenses for PBGENE-3243 have been recast for the periods presented below. The amounts previously reported under “PBGENE-3243 external development costs” are now reported within the “Platform development and early-stage research expense” line items: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50"/>
        </w:trPr>
        <w:tc>
          <w:tcPr>
            <w:tcW w:w="70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47"/>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66"/>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80" w:type="dxa"/>
            <w:vAlign w:val="bottom"/>
            <w:shd w:val="clear" w:color="auto" w:fill="CFF0FC"/>
          </w:tcPr>
          <w:p>
            <w:pPr>
              <w:spacing w:after="0"/>
              <w:rPr>
                <w:sz w:val="23"/>
                <w:szCs w:val="23"/>
                <w:color w:val="auto"/>
              </w:rPr>
            </w:pPr>
          </w:p>
        </w:tc>
        <w:tc>
          <w:tcPr>
            <w:tcW w:w="15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580" w:type="dxa"/>
            <w:vAlign w:val="bottom"/>
            <w:shd w:val="clear" w:color="auto" w:fill="CFF0FC"/>
          </w:tcPr>
          <w:p>
            <w:pPr>
              <w:spacing w:after="0"/>
              <w:rPr>
                <w:sz w:val="23"/>
                <w:szCs w:val="23"/>
                <w:color w:val="auto"/>
              </w:rPr>
            </w:pPr>
          </w:p>
        </w:tc>
      </w:tr>
      <w:tr>
        <w:trPr>
          <w:trHeight w:val="247"/>
        </w:trPr>
        <w:tc>
          <w:tcPr>
            <w:tcW w:w="7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Direct research and development expenses by product candidate:</w:t>
            </w: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66"/>
        </w:trPr>
        <w:tc>
          <w:tcPr>
            <w:tcW w:w="70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PBGENE-HBV external development costs</w:t>
            </w:r>
          </w:p>
        </w:tc>
        <w:tc>
          <w:tcPr>
            <w:tcW w:w="480" w:type="dxa"/>
            <w:vAlign w:val="bottom"/>
            <w:shd w:val="clear" w:color="auto" w:fill="CFF0FC"/>
          </w:tcPr>
          <w:p>
            <w:pPr>
              <w:spacing w:after="0"/>
              <w:rPr>
                <w:sz w:val="23"/>
                <w:szCs w:val="2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247"/>
        </w:trPr>
        <w:tc>
          <w:tcPr>
            <w:tcW w:w="70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PBGENE-DMD external development costs</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w:t>
            </w:r>
          </w:p>
        </w:tc>
      </w:tr>
      <w:tr>
        <w:trPr>
          <w:trHeight w:val="266"/>
        </w:trPr>
        <w:tc>
          <w:tcPr>
            <w:tcW w:w="7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Platform development and early-stage research expenses:</w:t>
            </w:r>
          </w:p>
        </w:tc>
        <w:tc>
          <w:tcPr>
            <w:tcW w:w="480" w:type="dxa"/>
            <w:vAlign w:val="bottom"/>
            <w:shd w:val="clear" w:color="auto" w:fill="CFF0FC"/>
          </w:tcPr>
          <w:p>
            <w:pPr>
              <w:spacing w:after="0"/>
              <w:rPr>
                <w:sz w:val="23"/>
                <w:szCs w:val="23"/>
                <w:color w:val="auto"/>
              </w:rPr>
            </w:pPr>
          </w:p>
        </w:tc>
        <w:tc>
          <w:tcPr>
            <w:tcW w:w="15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580" w:type="dxa"/>
            <w:vAlign w:val="bottom"/>
            <w:shd w:val="clear" w:color="auto" w:fill="CFF0FC"/>
          </w:tcPr>
          <w:p>
            <w:pPr>
              <w:spacing w:after="0"/>
              <w:rPr>
                <w:sz w:val="23"/>
                <w:szCs w:val="23"/>
                <w:color w:val="auto"/>
              </w:rPr>
            </w:pPr>
          </w:p>
        </w:tc>
      </w:tr>
      <w:tr>
        <w:trPr>
          <w:trHeight w:val="247"/>
        </w:trPr>
        <w:tc>
          <w:tcPr>
            <w:tcW w:w="70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Employee-related costs (including share-based compensation)</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w:t>
            </w:r>
          </w:p>
        </w:tc>
      </w:tr>
      <w:tr>
        <w:trPr>
          <w:trHeight w:val="266"/>
        </w:trPr>
        <w:tc>
          <w:tcPr>
            <w:tcW w:w="70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Laboratory supplies and services</w:t>
            </w:r>
          </w:p>
        </w:tc>
        <w:tc>
          <w:tcPr>
            <w:tcW w:w="480" w:type="dxa"/>
            <w:vAlign w:val="bottom"/>
            <w:shd w:val="clear" w:color="auto" w:fill="CFF0FC"/>
          </w:tcPr>
          <w:p>
            <w:pPr>
              <w:spacing w:after="0"/>
              <w:rPr>
                <w:sz w:val="23"/>
                <w:szCs w:val="2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47"/>
        </w:trPr>
        <w:tc>
          <w:tcPr>
            <w:tcW w:w="70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CMOs and outsourced research and development</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r>
      <w:tr>
        <w:trPr>
          <w:trHeight w:val="266"/>
        </w:trPr>
        <w:tc>
          <w:tcPr>
            <w:tcW w:w="70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Facility-related costs, laboratory equipment, and maintenance</w:t>
            </w:r>
          </w:p>
        </w:tc>
        <w:tc>
          <w:tcPr>
            <w:tcW w:w="480" w:type="dxa"/>
            <w:vAlign w:val="bottom"/>
            <w:shd w:val="clear" w:color="auto" w:fill="CFF0FC"/>
          </w:tcPr>
          <w:p>
            <w:pPr>
              <w:spacing w:after="0"/>
              <w:rPr>
                <w:sz w:val="23"/>
                <w:szCs w:val="2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47"/>
        </w:trPr>
        <w:tc>
          <w:tcPr>
            <w:tcW w:w="70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66"/>
        </w:trPr>
        <w:tc>
          <w:tcPr>
            <w:tcW w:w="70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Licensing fees and other research and development costs</w:t>
            </w:r>
          </w:p>
        </w:tc>
        <w:tc>
          <w:tcPr>
            <w:tcW w:w="480" w:type="dxa"/>
            <w:vAlign w:val="bottom"/>
            <w:tcBorders>
              <w:bottom w:val="single" w:sz="8" w:color="auto"/>
            </w:tcBorders>
            <w:shd w:val="clear" w:color="auto" w:fill="CFF0FC"/>
          </w:tcPr>
          <w:p>
            <w:pPr>
              <w:spacing w:after="0"/>
              <w:rPr>
                <w:sz w:val="23"/>
                <w:szCs w:val="23"/>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spacing w:after="0"/>
              <w:rPr>
                <w:sz w:val="23"/>
                <w:szCs w:val="23"/>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43"/>
        </w:trPr>
        <w:tc>
          <w:tcPr>
            <w:tcW w:w="704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13,352</w:t>
            </w:r>
          </w:p>
        </w:tc>
      </w:tr>
      <w:tr>
        <w:trPr>
          <w:trHeight w:val="243"/>
        </w:trPr>
        <w:tc>
          <w:tcPr>
            <w:tcW w:w="7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4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r>
      <w:tr>
        <w:trPr>
          <w:trHeight w:val="247"/>
        </w:trPr>
        <w:tc>
          <w:tcPr>
            <w:tcW w:w="70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Employee-related costs (including share-based compensation)</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4,431</w:t>
            </w:r>
          </w:p>
        </w:tc>
      </w:tr>
      <w:tr>
        <w:trPr>
          <w:trHeight w:val="266"/>
        </w:trPr>
        <w:tc>
          <w:tcPr>
            <w:tcW w:w="70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Consulting and professional services</w:t>
            </w:r>
          </w:p>
        </w:tc>
        <w:tc>
          <w:tcPr>
            <w:tcW w:w="480" w:type="dxa"/>
            <w:vAlign w:val="bottom"/>
            <w:shd w:val="clear" w:color="auto" w:fill="CFF0FC"/>
          </w:tcPr>
          <w:p>
            <w:pPr>
              <w:spacing w:after="0"/>
              <w:rPr>
                <w:sz w:val="23"/>
                <w:szCs w:val="2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1,412</w:t>
            </w:r>
          </w:p>
        </w:tc>
      </w:tr>
      <w:tr>
        <w:trPr>
          <w:trHeight w:val="250"/>
        </w:trPr>
        <w:tc>
          <w:tcPr>
            <w:tcW w:w="7040" w:type="dxa"/>
            <w:vAlign w:val="bottom"/>
            <w:tcBorders>
              <w:bottom w:val="single" w:sz="8" w:color="CFF0FC"/>
            </w:tcBorders>
          </w:tcPr>
          <w:p>
            <w:pPr>
              <w:ind w:left="520"/>
              <w:spacing w:after="0"/>
              <w:rPr>
                <w:sz w:val="20"/>
                <w:szCs w:val="20"/>
                <w:color w:val="auto"/>
              </w:rPr>
            </w:pPr>
            <w:r>
              <w:rPr>
                <w:rFonts w:ascii="Times New Roman" w:cs="Times New Roman" w:eastAsia="Times New Roman" w:hAnsi="Times New Roman"/>
                <w:sz w:val="16"/>
                <w:szCs w:val="16"/>
                <w:color w:val="auto"/>
              </w:rPr>
              <w:t>Other operating expenses and all other costs</w:t>
            </w: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w:t>
            </w:r>
          </w:p>
        </w:tc>
      </w:tr>
      <w:tr>
        <w:trPr>
          <w:trHeight w:val="256"/>
        </w:trPr>
        <w:tc>
          <w:tcPr>
            <w:tcW w:w="70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8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7,328</w:t>
            </w:r>
          </w:p>
        </w:tc>
      </w:tr>
      <w:tr>
        <w:trPr>
          <w:trHeight w:val="244"/>
        </w:trPr>
        <w:tc>
          <w:tcPr>
            <w:tcW w:w="7040" w:type="dxa"/>
            <w:vAlign w:val="bottom"/>
            <w:tcBorders>
              <w:bottom w:val="single" w:sz="8" w:color="CFF0FC"/>
            </w:tcBorders>
          </w:tcPr>
          <w:p>
            <w:pPr>
              <w:ind w:left="8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20,428</w:t>
            </w:r>
          </w:p>
        </w:tc>
        <w:tc>
          <w:tcPr>
            <w:tcW w:w="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20,680</w:t>
            </w:r>
          </w:p>
        </w:tc>
      </w:tr>
      <w:tr>
        <w:trPr>
          <w:trHeight w:val="256"/>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48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(20,428)</w:t>
            </w:r>
          </w:p>
        </w:tc>
        <w:tc>
          <w:tcPr>
            <w:tcW w:w="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(20,667)</w:t>
            </w:r>
          </w:p>
        </w:tc>
      </w:tr>
      <w:tr>
        <w:trPr>
          <w:trHeight w:val="250"/>
        </w:trPr>
        <w:tc>
          <w:tcPr>
            <w:tcW w:w="704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12,842</w:t>
            </w:r>
          </w:p>
        </w:tc>
        <w:tc>
          <w:tcPr>
            <w:tcW w:w="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w:t>
            </w:r>
          </w:p>
        </w:tc>
      </w:tr>
      <w:tr>
        <w:trPr>
          <w:trHeight w:val="275"/>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(7,586)</w:t>
            </w:r>
          </w:p>
        </w:tc>
        <w:tc>
          <w:tcPr>
            <w:tcW w:w="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(21,772)</w:t>
            </w:r>
          </w:p>
        </w:tc>
      </w:tr>
      <w:tr>
        <w:trPr>
          <w:trHeight w:val="20"/>
        </w:trPr>
        <w:tc>
          <w:tcPr>
            <w:tcW w:w="70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5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58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6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Borders>
              <w:bottom w:val="single" w:sz="8" w:color="CFF0FC"/>
            </w:tcBorders>
            <w:vMerge w:val="continue"/>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63"/>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7"/>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research and development expenses by product candidate:</w:t>
            </w:r>
          </w:p>
        </w:tc>
        <w:tc>
          <w:tcPr>
            <w:tcW w:w="4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PBGENE-HBV external development costs</w:t>
            </w:r>
          </w:p>
        </w:tc>
        <w:tc>
          <w:tcPr>
            <w:tcW w:w="4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257"/>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PBGENE-DMD external development costs</w:t>
            </w:r>
          </w:p>
        </w:tc>
        <w:tc>
          <w:tcPr>
            <w:tcW w:w="4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Platform development and early-stage research expenses:</w:t>
            </w:r>
          </w:p>
        </w:tc>
        <w:tc>
          <w:tcPr>
            <w:tcW w:w="4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Employee-related costs (including share-based compensation)</w:t>
            </w:r>
          </w:p>
        </w:tc>
        <w:tc>
          <w:tcPr>
            <w:tcW w:w="4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14,182</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Laboratory supplies and services</w:t>
            </w:r>
          </w:p>
        </w:tc>
        <w:tc>
          <w:tcPr>
            <w:tcW w:w="4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57"/>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CMOs and outsourced research and development</w:t>
            </w:r>
          </w:p>
        </w:tc>
        <w:tc>
          <w:tcPr>
            <w:tcW w:w="4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Facility-related costs, laboratory equipment, and maintenance</w:t>
            </w:r>
          </w:p>
        </w:tc>
        <w:tc>
          <w:tcPr>
            <w:tcW w:w="4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57"/>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Licensing fees and other research and development costs</w:t>
            </w:r>
          </w:p>
        </w:tc>
        <w:tc>
          <w:tcPr>
            <w:tcW w:w="44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50"/>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38,249</w:t>
            </w:r>
          </w:p>
        </w:tc>
        <w:tc>
          <w:tcPr>
            <w:tcW w:w="80" w:type="dxa"/>
            <w:vAlign w:val="bottom"/>
          </w:tcPr>
          <w:p>
            <w:pPr>
              <w:spacing w:after="0"/>
              <w:rPr>
                <w:sz w:val="21"/>
                <w:szCs w:val="21"/>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Employee-related costs (including share-based compensation)</w:t>
            </w:r>
          </w:p>
        </w:tc>
        <w:tc>
          <w:tcPr>
            <w:tcW w:w="4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4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0" w:type="dxa"/>
            <w:vAlign w:val="bottom"/>
          </w:tcPr>
          <w:p>
            <w:pPr>
              <w:spacing w:after="0"/>
              <w:rPr>
                <w:sz w:val="1"/>
                <w:szCs w:val="1"/>
                <w:color w:val="auto"/>
              </w:rPr>
            </w:pPr>
          </w:p>
        </w:tc>
      </w:tr>
      <w:tr>
        <w:trPr>
          <w:trHeight w:val="257"/>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 and all other costs</w:t>
            </w:r>
          </w:p>
        </w:tc>
        <w:tc>
          <w:tcPr>
            <w:tcW w:w="4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0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21,253</w:t>
            </w:r>
          </w:p>
        </w:tc>
        <w:tc>
          <w:tcPr>
            <w:tcW w:w="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25,008</w:t>
            </w:r>
          </w:p>
        </w:tc>
        <w:tc>
          <w:tcPr>
            <w:tcW w:w="0" w:type="dxa"/>
            <w:vAlign w:val="bottom"/>
          </w:tcPr>
          <w:p>
            <w:pPr>
              <w:spacing w:after="0"/>
              <w:rPr>
                <w:sz w:val="1"/>
                <w:szCs w:val="1"/>
                <w:color w:val="auto"/>
              </w:rPr>
            </w:pPr>
          </w:p>
        </w:tc>
      </w:tr>
      <w:tr>
        <w:trPr>
          <w:trHeight w:val="250"/>
        </w:trPr>
        <w:tc>
          <w:tcPr>
            <w:tcW w:w="7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59,502</w:t>
            </w:r>
          </w:p>
        </w:tc>
        <w:tc>
          <w:tcPr>
            <w:tcW w:w="80" w:type="dxa"/>
            <w:vAlign w:val="bottom"/>
          </w:tcPr>
          <w:p>
            <w:pPr>
              <w:spacing w:after="0"/>
              <w:rPr>
                <w:sz w:val="21"/>
                <w:szCs w:val="21"/>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64,716</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(48,664)</w:t>
            </w:r>
          </w:p>
        </w:tc>
        <w:tc>
          <w:tcPr>
            <w:tcW w:w="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(64,656)</w:t>
            </w:r>
          </w:p>
        </w:tc>
        <w:tc>
          <w:tcPr>
            <w:tcW w:w="0" w:type="dxa"/>
            <w:vAlign w:val="bottom"/>
          </w:tcPr>
          <w:p>
            <w:pPr>
              <w:spacing w:after="0"/>
              <w:rPr>
                <w:sz w:val="1"/>
                <w:szCs w:val="1"/>
                <w:color w:val="auto"/>
              </w:rPr>
            </w:pPr>
          </w:p>
        </w:tc>
      </w:tr>
      <w:tr>
        <w:trPr>
          <w:trHeight w:val="257"/>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expenses</w:t>
            </w:r>
          </w:p>
        </w:tc>
        <w:tc>
          <w:tcPr>
            <w:tcW w:w="4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(58,679)</w:t>
            </w:r>
          </w:p>
        </w:tc>
        <w:tc>
          <w:tcPr>
            <w:tcW w:w="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(65,857)</w:t>
            </w:r>
          </w:p>
        </w:tc>
        <w:tc>
          <w:tcPr>
            <w:tcW w:w="0" w:type="dxa"/>
            <w:vAlign w:val="bottom"/>
          </w:tcPr>
          <w:p>
            <w:pPr>
              <w:spacing w:after="0"/>
              <w:rPr>
                <w:sz w:val="1"/>
                <w:szCs w:val="1"/>
                <w:color w:val="auto"/>
              </w:rPr>
            </w:pPr>
          </w:p>
        </w:tc>
      </w:tr>
      <w:tr>
        <w:trPr>
          <w:trHeight w:val="20"/>
        </w:trPr>
        <w:tc>
          <w:tcPr>
            <w:tcW w:w="70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WARRANTS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warrants issued in the March 2024 Public Offering and November 2025 Public Offering are classified as liabilities in accordance with ASC 815, since these warrants met the definition of a derivative instrument and did not qualify for equity classification. These warrant agreements include a fundamental transaction clause whereby, in the event that another person or entity becomes the beneficial owner of 50% of the outstanding shares of the Company’s common stock, and if other conditions are met, the Company may be required to purchase the warrants from the holders by paying cash in an amount equal to the Black-Scholes value of the remaining unexercised portion of the warrants on the date of such fundamental transaction. This liability is subject to remeasurement at each balance sheet date until the warrants are exercised or expire, and any change in fair value is recognized in the Company’s condensed statements of operations.</w:t>
      </w:r>
    </w:p>
    <w:p>
      <w:pPr>
        <w:spacing w:after="0" w:line="18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fair value adjustment of the March 2024 Public Offering for the nine months ended September 30, 2026 was $0.5 million using the Black-Scholes option-pricing model. As of September 30, 2026, all of the 2,500,000 warrants are outstanding. The Company estimated the fair value of the warrant liability using the following assumptions as of September 30, 2026: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Estimated dividend yield</w:t>
            </w:r>
          </w:p>
        </w:tc>
        <w:tc>
          <w:tcPr>
            <w:tcW w:w="860" w:type="dxa"/>
            <w:vAlign w:val="bottom"/>
            <w:tcBorders>
              <w:top w:val="single" w:sz="8" w:color="auto"/>
            </w:tcBorders>
            <w:shd w:val="clear" w:color="auto" w:fill="CFF0FC"/>
          </w:tcPr>
          <w:p>
            <w:pPr>
              <w:spacing w:after="0"/>
              <w:rPr>
                <w:sz w:val="23"/>
                <w:szCs w:val="23"/>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247"/>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expected stock price volatility</w:t>
            </w:r>
          </w:p>
        </w:tc>
        <w:tc>
          <w:tcPr>
            <w:tcW w:w="8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69.82 %</w:t>
            </w:r>
          </w:p>
        </w:tc>
      </w:tr>
      <w:tr>
        <w:trPr>
          <w:trHeight w:val="266"/>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risk-free interest rate</w:t>
            </w:r>
          </w:p>
        </w:tc>
        <w:tc>
          <w:tcPr>
            <w:tcW w:w="86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4.93 %</w:t>
            </w:r>
          </w:p>
        </w:tc>
      </w:tr>
      <w:tr>
        <w:trPr>
          <w:trHeight w:val="247"/>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8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66"/>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fair value per warrant</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0.94</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adjustment of the November 2025 Public Offering for the nine months ended September 30, 2026 was $7.8 million using the Black-Scholes option-pricing model. As of September 30, 2026, all of the 6,107,500 warrants are outstanding. The Company estimated the fair value of the warrant liability using the following assumptions as of September 30,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Estimated dividend yield</w:t>
            </w:r>
          </w:p>
        </w:tc>
        <w:tc>
          <w:tcPr>
            <w:tcW w:w="37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247"/>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expected stock price volatility</w:t>
            </w:r>
          </w:p>
        </w:tc>
        <w:tc>
          <w:tcPr>
            <w:tcW w:w="37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74.99 %</w:t>
            </w:r>
          </w:p>
        </w:tc>
      </w:tr>
      <w:tr>
        <w:trPr>
          <w:trHeight w:val="26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risk-free interest rate</w:t>
            </w:r>
          </w:p>
        </w:tc>
        <w:tc>
          <w:tcPr>
            <w:tcW w:w="378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5.05 %</w:t>
            </w:r>
          </w:p>
        </w:tc>
      </w:tr>
      <w:tr>
        <w:trPr>
          <w:trHeight w:val="247"/>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37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6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fair value per warrant</w:t>
            </w:r>
          </w:p>
        </w:tc>
        <w:tc>
          <w:tcPr>
            <w:tcW w:w="378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3.54</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warrant liability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15,695</w:t>
            </w:r>
          </w:p>
        </w:tc>
      </w:tr>
      <w:tr>
        <w:trPr>
          <w:trHeight w:val="266"/>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warrants</w:t>
            </w:r>
          </w:p>
        </w:tc>
        <w:tc>
          <w:tcPr>
            <w:tcW w:w="82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9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8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w:t>
            </w:r>
          </w:p>
        </w:tc>
      </w:tr>
      <w:tr>
        <w:trPr>
          <w:trHeight w:val="257"/>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23,969</w:t>
            </w:r>
          </w:p>
        </w:tc>
      </w:tr>
    </w:tbl>
    <w:p>
      <w:pPr>
        <w:spacing w:after="0" w:line="38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has evaluated all subsequent events through the issuance date of these financial statements and no subsequent events occurred that required disclosure.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the related notes to those statements included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Part II. Item 1A. “Risk Factors” of this Quarterly Report on Form 10-Q, our actual results could differ materially from the results described in, or implied by, these forward-looking statements. As used in this Quarterly Report on Form 10-Q, unless the context otherwise requires, references to “we,” “us,” “our,” the “Company” and “Precision” refer to Precision BioSciences,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are a clinical stage gene editing company dedicated to improving life by developing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therapies for genetic and infectious diseases with the application of our wholly-owned proprietary ARCUS genome editing platform. The foundation of ARCUS is a natural homing endonuclease which allows us to replicate precise gene editing as it evolved in nature for sophisticated gene edits, including gene insertion, excision, and elimination. ARCUS is also unique in its relatively small size which potentially allows delivery to a wider range of cells and tissues using viral and non-viral gene delivery methods.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Wholly-Owned Portfolio</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PBGENE-HBV is our wholly owned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program being evaluated in ELIMINATE-B, a global clinical trial, as a potential viral cure for chronic hepatitis B. PBGENE-HBV targets and eliminates covalently closed circular DNA (“cccDNA”), the sole source of viral replication, leading to durable loss of pregenomic RNA, the precursor for hepatitis B virus (“HBV”) DNA infectious particles. PBGENE-HBV is the first and only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elimination approach to prospectively employ repeat lipid nanoparticle administration in chronic hepatitis B with the goal of viral elimination and viral cure.</w:t>
      </w:r>
    </w:p>
    <w:p>
      <w:pPr>
        <w:spacing w:after="0" w:line="18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During the third quarter, we continued to advance the ELIMINATE-B trial, enrolling additional patients and expanding the 0.4 mg/kg and 0.65 mg/kg cohorts to support selection of the optimal dosing schedule for Phase 2 expansion. Additional biopsies and blood biomarker data are being collected to further validate and characterize cccDNA elimination findings demonstrated in the late-breaking EASL data presented in May 2026.</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October 2026, we announced that the PBGENE-HBV abstract had been selected for the late-breaking oral presentation at the upcoming Liver Meeting 2026 during the 77th annual meeting of the American Association for the Study of Liver Diseases. The embargoed abstract will become public on November 5, 2026 and the late-breaking oral presentation will occur on November 8, 2026.</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PBGENE-DMD is our investigational drug for Duchenne muscular dystrophy (“DMD”), designed to restore near full-length functional dystrophin protein through a gene excision approach using two ARCUS nucleases delivered in a single adeno-associated virus (“AAV”). We believe this approach of restoring the body’s native dystrophin gene after excising the frequently-mutated hotspot region including exons 45-55 may be applicable for the majority of patients with DMD.</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August 2026, we dosed the first patient in the Phase 1/2 FUNCTION-DMD study at Arkansas Children's Hospital, a PPMD-certified Duchenne Care Center and designated MDA Care Center in Little Rock, marking the first time a clinical stage gene editing approach aimed at restoring near full length dystrophin protein from the native gene has been evaluated in patients with DMD. Multiple clinical trial sites are now active, with Washington University School of Medicine in St. Louis also recruiting patients. The study is enrolling ambulatory DMD patients between the ages of 2 and 7 with mutations between exons 45 and 55, representing up to 60% of boys living with DMD. Initial safety data are targeted for year-end 2026, with efficacy data at distinct timepoints expected to follow in the first and second half of 2027.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Partnered In Vivo Gene Editing Program</w:t>
      </w:r>
    </w:p>
    <w:p>
      <w:pPr>
        <w:spacing w:after="0" w:line="225"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In partnership with iECURE, ECUR-506 is an ARCUS-mediated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targeted gene insertion program currently in a first-in-human trial, OTC-HOPE, evaluating ECUR-506 as a potential treatment for neonatal-onset ornithine transcarbamylase (“OTC”) deficiency. iECURE previously announced alignment with the U.S. Food and Drug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Administration (“FDA”) on key study elements that could support a potential Biologics License Application (“BLA”). The OTC-HOPE study is ongoing in the U.K., the U.S., Australia, and Spain.</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August 2026, iECURE presented updated clinical data in an oral platform presentation at the Annual Symposium of the Society for the Study of Inborn Errors of Metabolism in Helsinki, Finland. Preliminary safety observations showed ECUR-506 was generally well tolerated, with no unexpected treatment-related safety events observed. Phase 1/2 dosing has been completed across all dose cohorts and participant evaluations are ongoing. Updated low-dose cohort data demonstrated a 57% reduction in the annualized rate of hyperammonemic events (“HAEs”) and a 74% reduction in annualized hyperammonemic crises (“HACs”) following ECUR-506 administration. HAEs are episodes of elevated ammonia, with more severe episodes known as HACs. HACs are acute medical emergencies characterized by elevated ammonia levels with neurologic symptoms and can lead to hospitalization, irreversible neurologic injury, and death.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Partnered Ex Vivo Programs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Azer-cel is being evaluated by TG Therapeutics, Inc. (“TG Therapeutics”) in a Phase 1 trial in progressive multiple sclerosis (“MS”). TG Therapeutics presented a late-breaking oral presentation highlighting initial results from the Phase 1 azer-cel study in patients with primary progressive multiple sclerosis at the 10th Joint ACTRIMS-ECTRIMS Meeting, also referred to as MSToronto2026, on October 23, 2026, in Toronto, Canada. Across dose levels evaluated to date, azer-cel showed an encouraging preliminary safety profile with no high-grade CAR-T associated toxicities observed. Additionally, 89% of evaluable participants had stable or improved disability scores at Day 90, despite documented progression prior to enrollment on high-efficacy therapies. Early pharmacokinetics/pharmacodynamics, biomarker, and clinical outcomes support continued evaluation of azer-cel in progressive MS.</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previously announced the achievement of a clinical milestone under our license agreement with TG Therapeutics. As a result, we have earned a cash payment of $7.5 million in proceeds, inclusive of $5.25 million cash and $2.25 million for the purchase of 201,504 shares of our common stock by TG Therapeutics at $11.17 per share.</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Separately, Imugene continues development of azer-cel in diffuse large B-cell lymphoma and has received written guidance from the FDA regarding the registrational pathway for azer-cel. The guidance provided clear alignment with the FDA across key elements required to support advancement into a pivotal study, including dosing regimen, patient population, endpoints, and manufacturing readiness.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Azer-cel data presented at the 2026 American Society of Clinical Oncology Annual Meeting in May 2026 demonstrated that among 24 patients evaluable for response following their first disease assessment at Day 28, response rates ranging from 50%-100% were observed across all six cancer subtypes. In October 2026, Imugene reported two further responses, including one complete response in cohort 2 (CAR T naïve) and one partial response in cohort 3 (BTKi combination), bringing the overall response rate to 81% in cohort 2 and 86% in cohort 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in the foreseeable future. We record revenue from collaboration agreements, including amounts related to upfront payments, milestone payments, fees for licenses of our intellectual property and research and development funding.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clinical trials and research activities, including our discovery efforts and the development of our product candidates. These include the following:</w:t>
      </w:r>
    </w:p>
    <w:p>
      <w:pPr>
        <w:spacing w:after="0" w:line="162" w:lineRule="exact"/>
        <w:rPr>
          <w:sz w:val="20"/>
          <w:szCs w:val="20"/>
          <w:color w:val="auto"/>
        </w:rPr>
      </w:pPr>
    </w:p>
    <w:p>
      <w:pPr>
        <w:ind w:left="660" w:right="5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share-based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third parties that conduct preclinical research and development activities on our behalf;</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manufacturing drug products for use in our preclinical studies, including the costs of contract manufacturing organizations (“CMOs”);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developing and manufacturing preclinical study materials;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payments made for intellectual property used in research and development activities;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and expenses for rent and maintenance of facilities and other operating costs if specifically identifiable to research activities.</w:t>
      </w:r>
    </w:p>
    <w:p>
      <w:pPr>
        <w:spacing w:after="0" w:line="54"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We track external research and development costs by product candidate beginning when it is publicly named as a development program. Internal and external costs that are not identifiable to specific development candidates are included in the platform development expenses category.</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increase over the long term and will comprise a larger percentage of our total expenses as we progress development of our product candidates.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cannot determine with certainty the duration and costs of future clinical trials for our product candidates we may develop or if, when or to what extent we will generate revenue from the commercialization and sale of any product candidate for which we obtain marketing approval. We may never succeed in obtaining marketing approval for any product candidate. The duration, costs and timing of clinical trials and development of our product candidates will depend on a variety of factors, including:</w:t>
      </w:r>
    </w:p>
    <w:p>
      <w:pPr>
        <w:spacing w:after="0" w:line="180" w:lineRule="exact"/>
        <w:rPr>
          <w:sz w:val="20"/>
          <w:szCs w:val="20"/>
          <w:color w:val="auto"/>
        </w:rPr>
      </w:pPr>
    </w:p>
    <w:p>
      <w:pPr>
        <w:ind w:left="660" w:right="1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current and future clinical trials of our product candidates and other research and development activities that we may conduct;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collaborate and partner with third parties to fund any or all of our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design and patient enrollment rates;</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probability of success for our product candidates, including their safety and efficacy, early clinical data, competition, manufacturing capability and commercial viability;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marketing approvals;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slower than expected patient enrollment or other reasons, we would be required to expend significant additional financial resources and time on the completion of clinical development.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consulting fees, recruitment-related costs and other employee-related costs, including share-based compensation, for personnel in our executive, finance, business development, operations and administrative functions. General and administrative expenses also include legal fees relating to intellectual property and corporate matters; information technology costs; insurance costs; travel expenses; and facility-related expenses, which include direct depreciation costs and expenses for rent and maintenance of facilities and other operating costs that are not specifically attributable to research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Equity Method Investment</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Changes in fair value on our equity method investment represents changes in the investment value of our equity method investee, Elo Life Systems, Inc. (“Elo”). In 2026, Elo is no longer classified as an equity method investment. Any subsequent changes to the investment’s fair value will be recorded through the other fair value adjustments line item.</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Other Fair Value Adjustments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fair value represents the assessed changes in assets and liabilities carried at fair value.</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adjust the carrying value of the ordinary shares issued from Imugene to its fair value each reporting period with any changes in fair value recorded to other income (expense). We adjust the carrying value of the iECURE investment under the iECURE Equity Agreement to its fair value each reporting period with any changes in fair value recorded to other (expense)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The change in fair value of warrant liability represents the mark-to-market fair value adjustments to the outstanding warrants issued in connection with the March 2024 Public Offering and November 2025 Public Offering. Refer to Note 11,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in the accompanying notes to the financial statements for more information on the fair value assumptions.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interest payments incurred and discount amortization on debt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and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Disposal of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on disposal of assets represents the difference between the sale price and remaining net book value of sold assets at the time of their sale.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September 30, 2026 and September 30, 2025</w:t>
      </w:r>
    </w:p>
    <w:p>
      <w:pPr>
        <w:spacing w:after="0" w:line="22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2026 and September 30, 2025, together with the changes in those items: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9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4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0"/>
        </w:trPr>
        <w:tc>
          <w:tcPr>
            <w:tcW w:w="49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FF0FC"/>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4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66"/>
        </w:trPr>
        <w:tc>
          <w:tcPr>
            <w:tcW w:w="4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shd w:val="clear" w:color="auto" w:fill="CFF0FC"/>
          </w:tcPr>
          <w:p>
            <w:pPr>
              <w:spacing w:after="0"/>
              <w:rPr>
                <w:sz w:val="23"/>
                <w:szCs w:val="23"/>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13,352</w:t>
            </w:r>
          </w:p>
        </w:tc>
        <w:tc>
          <w:tcPr>
            <w:tcW w:w="1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50"/>
        </w:trPr>
        <w:tc>
          <w:tcPr>
            <w:tcW w:w="494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7,328</w:t>
            </w:r>
          </w:p>
        </w:tc>
        <w:tc>
          <w:tcPr>
            <w:tcW w:w="10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57"/>
        </w:trPr>
        <w:tc>
          <w:tcPr>
            <w:tcW w:w="494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shd w:val="clear" w:color="auto" w:fill="CFF0FC"/>
          </w:tcPr>
          <w:p>
            <w:pPr>
              <w:spacing w:after="0"/>
              <w:rPr>
                <w:sz w:val="22"/>
                <w:szCs w:val="22"/>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20,428</w:t>
            </w:r>
          </w:p>
        </w:tc>
        <w:tc>
          <w:tcPr>
            <w:tcW w:w="8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20,680</w:t>
            </w:r>
          </w:p>
        </w:tc>
        <w:tc>
          <w:tcPr>
            <w:tcW w:w="100" w:type="dxa"/>
            <w:vAlign w:val="bottom"/>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4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6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20" w:type="dxa"/>
            <w:vAlign w:val="bottom"/>
            <w:shd w:val="clear" w:color="auto" w:fill="CFF0FC"/>
          </w:tcPr>
          <w:p>
            <w:pPr>
              <w:spacing w:after="0"/>
              <w:rPr>
                <w:sz w:val="23"/>
                <w:szCs w:val="23"/>
                <w:color w:val="auto"/>
              </w:rPr>
            </w:pPr>
          </w:p>
        </w:tc>
        <w:tc>
          <w:tcPr>
            <w:tcW w:w="17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5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620" w:type="dxa"/>
            <w:vAlign w:val="bottom"/>
            <w:shd w:val="clear" w:color="auto" w:fill="CFF0FC"/>
          </w:tcPr>
          <w:p>
            <w:pPr>
              <w:spacing w:after="0"/>
              <w:rPr>
                <w:sz w:val="23"/>
                <w:szCs w:val="23"/>
                <w:color w:val="auto"/>
              </w:rPr>
            </w:pPr>
          </w:p>
        </w:tc>
      </w:tr>
      <w:tr>
        <w:trPr>
          <w:trHeight w:val="247"/>
        </w:trPr>
        <w:tc>
          <w:tcPr>
            <w:tcW w:w="4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from equity method investment</w:t>
            </w:r>
          </w:p>
        </w:tc>
        <w:tc>
          <w:tcPr>
            <w:tcW w:w="320" w:type="dxa"/>
            <w:vAlign w:val="bottom"/>
          </w:tcPr>
          <w:p>
            <w:pPr>
              <w:spacing w:after="0"/>
              <w:rPr>
                <w:sz w:val="21"/>
                <w:szCs w:val="21"/>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266"/>
        </w:trPr>
        <w:tc>
          <w:tcPr>
            <w:tcW w:w="4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Loss on changes in other fair value adjustments</w:t>
            </w:r>
          </w:p>
        </w:tc>
        <w:tc>
          <w:tcPr>
            <w:tcW w:w="320" w:type="dxa"/>
            <w:vAlign w:val="bottom"/>
            <w:shd w:val="clear" w:color="auto" w:fill="CFF0FC"/>
          </w:tcPr>
          <w:p>
            <w:pPr>
              <w:spacing w:after="0"/>
              <w:rPr>
                <w:sz w:val="23"/>
                <w:szCs w:val="23"/>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47"/>
        </w:trPr>
        <w:tc>
          <w:tcPr>
            <w:tcW w:w="4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(loss) on change in fair value of warrant liability</w:t>
            </w: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13,903</w:t>
            </w:r>
          </w:p>
        </w:tc>
      </w:tr>
      <w:tr>
        <w:trPr>
          <w:trHeight w:val="266"/>
        </w:trPr>
        <w:tc>
          <w:tcPr>
            <w:tcW w:w="4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FF0FC"/>
          </w:tcPr>
          <w:p>
            <w:pPr>
              <w:spacing w:after="0"/>
              <w:rPr>
                <w:sz w:val="23"/>
                <w:szCs w:val="23"/>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47"/>
        </w:trPr>
        <w:tc>
          <w:tcPr>
            <w:tcW w:w="4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66"/>
        </w:trPr>
        <w:tc>
          <w:tcPr>
            <w:tcW w:w="4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Gain on disposal of assets</w:t>
            </w:r>
          </w:p>
        </w:tc>
        <w:tc>
          <w:tcPr>
            <w:tcW w:w="320" w:type="dxa"/>
            <w:vAlign w:val="bottom"/>
            <w:shd w:val="clear" w:color="auto" w:fill="CFF0FC"/>
          </w:tcPr>
          <w:p>
            <w:pPr>
              <w:spacing w:after="0"/>
              <w:rPr>
                <w:sz w:val="23"/>
                <w:szCs w:val="23"/>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23"/>
                <w:szCs w:val="23"/>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4"/>
        </w:trPr>
        <w:tc>
          <w:tcPr>
            <w:tcW w:w="494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2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12,842</w:t>
            </w:r>
          </w:p>
        </w:tc>
        <w:tc>
          <w:tcPr>
            <w:tcW w:w="80" w:type="dxa"/>
            <w:vAlign w:val="bottom"/>
            <w:tcBorders>
              <w:bottom w:val="single" w:sz="8" w:color="CFF0FC"/>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Borders>
              <w:bottom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13,947</w:t>
            </w:r>
          </w:p>
        </w:tc>
      </w:tr>
      <w:tr>
        <w:trPr>
          <w:trHeight w:val="25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(7,586)</w:t>
            </w:r>
          </w:p>
        </w:tc>
        <w:tc>
          <w:tcPr>
            <w:tcW w:w="8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(21,772)</w:t>
            </w:r>
          </w:p>
        </w:tc>
        <w:tc>
          <w:tcPr>
            <w:tcW w:w="100" w:type="dxa"/>
            <w:vAlign w:val="bottom"/>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14,186</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 revenue was recognized for the three months ended September 30, 2026 compared to less than $0.1 million for the three months ended September 30, 2025. Revenue from the prior period was generated from the Novartis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Due to the pause in development of PBGENE-3243 to prioritize our two lead programs, PBGENE-HBV and PBGENE-DMD, expenses for PBGENE-3243 have been recast for the periods presented below. The amounts previously reported under “PBGENE-3243 external development costs” are now reported within the “Platform development and early-stage research expense” line items.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0"/>
        </w:trPr>
        <w:tc>
          <w:tcPr>
            <w:tcW w:w="61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43"/>
        </w:trPr>
        <w:tc>
          <w:tcPr>
            <w:tcW w:w="6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Direct research and development expenses by product candidate:</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47"/>
        </w:trPr>
        <w:tc>
          <w:tcPr>
            <w:tcW w:w="6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PBGENE-HBV external development costs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24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22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w:t>
            </w:r>
          </w:p>
        </w:tc>
      </w:tr>
      <w:tr>
        <w:trPr>
          <w:trHeight w:val="266"/>
        </w:trPr>
        <w:tc>
          <w:tcPr>
            <w:tcW w:w="61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PBGENE-DMD external development costs</w:t>
            </w:r>
          </w:p>
        </w:tc>
        <w:tc>
          <w:tcPr>
            <w:tcW w:w="30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2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2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47"/>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Platform development and early-stage research expenses: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6"/>
        </w:trPr>
        <w:tc>
          <w:tcPr>
            <w:tcW w:w="6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Employee-related costs (including share-based compensation)</w:t>
            </w:r>
          </w:p>
        </w:tc>
        <w:tc>
          <w:tcPr>
            <w:tcW w:w="30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2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2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247"/>
        </w:trPr>
        <w:tc>
          <w:tcPr>
            <w:tcW w:w="6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Laboratory supplies and services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66"/>
        </w:trPr>
        <w:tc>
          <w:tcPr>
            <w:tcW w:w="6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CMOs and outsourced research and development</w:t>
            </w:r>
          </w:p>
        </w:tc>
        <w:tc>
          <w:tcPr>
            <w:tcW w:w="30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2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47"/>
        </w:trPr>
        <w:tc>
          <w:tcPr>
            <w:tcW w:w="6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Facility-related costs, laboratory equipment, and maintenance</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66"/>
        </w:trPr>
        <w:tc>
          <w:tcPr>
            <w:tcW w:w="6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50"/>
        </w:trPr>
        <w:tc>
          <w:tcPr>
            <w:tcW w:w="612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6"/>
                <w:szCs w:val="16"/>
                <w:color w:val="auto"/>
              </w:rPr>
              <w:t>Licensing fees and other research and development costs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75"/>
        </w:trPr>
        <w:tc>
          <w:tcPr>
            <w:tcW w:w="61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24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13,352</w:t>
            </w:r>
          </w:p>
        </w:tc>
        <w:tc>
          <w:tcPr>
            <w:tcW w:w="2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0"/>
        </w:trPr>
        <w:tc>
          <w:tcPr>
            <w:tcW w:w="6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-33655</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-33655</wp:posOffset>
            </wp:positionV>
            <wp:extent cx="1543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-205105</wp:posOffset>
            </wp:positionV>
            <wp:extent cx="137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-205105</wp:posOffset>
            </wp:positionV>
            <wp:extent cx="1543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-1833880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-1833880</wp:posOffset>
            </wp:positionV>
            <wp:extent cx="1543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2026 were $12.7 million, compared to $13.4 million for the three months ended September 30, 2025. The decrease of approximately $0.7 million was primarily due to reductions in research including completion of pre-investigational new drug (“IND”) research expenses for both the PBGENE-HBV and PBGENE-DMD programs, partially offset by an increase in the PBGENE-HBV clinical program costs driven by advancement and cohort expansion of the Phase 1 ELIMINATE-B trial.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$7.7 million for the three months ended September 30, 2026, compared to $7.3 million for the three months ended September 30, 2025. The increase of approximately $0.4 million was primarily a result of increases in employee-related costs and consulting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Equity Method Investment</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the $0.6 million non-cash loss from equity investment was the result of our proportionate share of Elo’s loss under equity method accounting. In the three months ended September 30, 2026, Elo was not classified as an equity method investment. There were no changes to the investment value for the three months ended September 30, 2026 and any subsequent changes in the investment’s fair value will be recorded through other fair value adjustments.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Changes in Other Fair Value Adjustments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loss on changes in other fair value adjustments of $0.5 million for the three months ended September 30, 2026 is attributable to the non-cash decrease in fair value on the ordinary shares held for Imugene Limited. The loss on changes in other fair value adjustments of less than $0.1 million for the three months ended September 30, 2025 was primarily attributable to the change in fair value of the final payment fee under the 2024 Term Loan.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Change in Fair Value of Warrant Liability</w:t>
      </w:r>
    </w:p>
    <w:p>
      <w:pPr>
        <w:spacing w:after="0" w:line="22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non-cash gain from change in fair value of the warrant liability was $12.7 million for the three months ended September 30, 2026 compared to a non-cash loss of $1.2 million for the three months ended September 30, 2025 represents the mark-to-market fair value adjustment to the outstanding warrants issued in connection with the March 2024 Public Offering and November 2025 Public Offering.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expense was $0.3 million for the three months ended September 30, 2026 compared to $0.4 million for the three months ended September 30, 2025 primarily driven by declining interest rates on the 2024 Term Loan over the comparison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Interest income was $0.9 million during the three months ended September 30, 2026 compared to $1.0 million during the three months ended September 30, 2025. The decrease of approximately $0.1 million was primarily driven by the Elo note receivable interest accrued for in the prior year as well as declining interest rates which was partially offset by a higher cash balance for the current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Disposal of Assets</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was no gain or loss on disposal of assets during the three months ended September 30, 2026 compared to the gain on disposal of assets of less than $0.1 million during the three months ended September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2026 and September 30, 2025</w:t>
      </w:r>
    </w:p>
    <w:p>
      <w:pPr>
        <w:spacing w:after="0" w:line="22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2026 and September 30, 2025, together with the changes in those items: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4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0"/>
        </w:trPr>
        <w:tc>
          <w:tcPr>
            <w:tcW w:w="49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FF0FC"/>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10,838</w:t>
            </w:r>
          </w:p>
        </w:tc>
        <w:tc>
          <w:tcPr>
            <w:tcW w:w="8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10,778</w:t>
            </w:r>
          </w:p>
        </w:tc>
      </w:tr>
      <w:tr>
        <w:trPr>
          <w:trHeight w:val="24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66"/>
        </w:trPr>
        <w:tc>
          <w:tcPr>
            <w:tcW w:w="4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FF0FC"/>
          </w:tcPr>
          <w:p>
            <w:pPr>
              <w:spacing w:after="0"/>
              <w:rPr>
                <w:sz w:val="23"/>
                <w:szCs w:val="23"/>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38,249</w:t>
            </w: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39,708</w:t>
            </w:r>
          </w:p>
        </w:tc>
        <w:tc>
          <w:tcPr>
            <w:tcW w:w="1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(1,459)</w:t>
            </w:r>
          </w:p>
        </w:tc>
      </w:tr>
      <w:tr>
        <w:trPr>
          <w:trHeight w:val="250"/>
        </w:trPr>
        <w:tc>
          <w:tcPr>
            <w:tcW w:w="494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21,253</w:t>
            </w:r>
          </w:p>
        </w:tc>
        <w:tc>
          <w:tcPr>
            <w:tcW w:w="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25,008</w:t>
            </w:r>
          </w:p>
        </w:tc>
        <w:tc>
          <w:tcPr>
            <w:tcW w:w="10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(3,755)</w:t>
            </w:r>
          </w:p>
        </w:tc>
      </w:tr>
      <w:tr>
        <w:trPr>
          <w:trHeight w:val="257"/>
        </w:trPr>
        <w:tc>
          <w:tcPr>
            <w:tcW w:w="494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shd w:val="clear" w:color="auto" w:fill="CFF0FC"/>
          </w:tcPr>
          <w:p>
            <w:pPr>
              <w:spacing w:after="0"/>
              <w:rPr>
                <w:sz w:val="22"/>
                <w:szCs w:val="2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59,502</w:t>
            </w:r>
          </w:p>
        </w:tc>
        <w:tc>
          <w:tcPr>
            <w:tcW w:w="8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64,716</w:t>
            </w:r>
          </w:p>
        </w:tc>
        <w:tc>
          <w:tcPr>
            <w:tcW w:w="100" w:type="dxa"/>
            <w:vAlign w:val="bottom"/>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(5,214)</w:t>
            </w:r>
          </w:p>
        </w:tc>
      </w:tr>
      <w:tr>
        <w:trPr>
          <w:trHeight w:val="24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3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(48,664)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(64,656)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15,992</w:t>
            </w:r>
          </w:p>
        </w:tc>
      </w:tr>
      <w:tr>
        <w:trPr>
          <w:trHeight w:val="26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40" w:type="dxa"/>
            <w:vAlign w:val="bottom"/>
            <w:shd w:val="clear" w:color="auto" w:fill="CFF0FC"/>
          </w:tcPr>
          <w:p>
            <w:pPr>
              <w:spacing w:after="0"/>
              <w:rPr>
                <w:sz w:val="23"/>
                <w:szCs w:val="23"/>
                <w:color w:val="auto"/>
              </w:rPr>
            </w:pPr>
          </w:p>
        </w:tc>
        <w:tc>
          <w:tcPr>
            <w:tcW w:w="170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5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620" w:type="dxa"/>
            <w:vAlign w:val="bottom"/>
            <w:shd w:val="clear" w:color="auto" w:fill="CFF0FC"/>
          </w:tcPr>
          <w:p>
            <w:pPr>
              <w:spacing w:after="0"/>
              <w:rPr>
                <w:sz w:val="23"/>
                <w:szCs w:val="23"/>
                <w:color w:val="auto"/>
              </w:rPr>
            </w:pPr>
          </w:p>
        </w:tc>
      </w:tr>
      <w:tr>
        <w:trPr>
          <w:trHeight w:val="247"/>
        </w:trPr>
        <w:tc>
          <w:tcPr>
            <w:tcW w:w="4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from equity method investment</w:t>
            </w:r>
          </w:p>
        </w:tc>
        <w:tc>
          <w:tcPr>
            <w:tcW w:w="34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66"/>
        </w:trPr>
        <w:tc>
          <w:tcPr>
            <w:tcW w:w="4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Loss on changes in other fair value adjustments</w:t>
            </w:r>
          </w:p>
        </w:tc>
        <w:tc>
          <w:tcPr>
            <w:tcW w:w="340" w:type="dxa"/>
            <w:vAlign w:val="bottom"/>
            <w:shd w:val="clear" w:color="auto" w:fill="CFF0FC"/>
          </w:tcPr>
          <w:p>
            <w:pPr>
              <w:spacing w:after="0"/>
              <w:rPr>
                <w:sz w:val="23"/>
                <w:szCs w:val="23"/>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1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(1,233)</w:t>
            </w:r>
          </w:p>
        </w:tc>
      </w:tr>
      <w:tr>
        <w:trPr>
          <w:trHeight w:val="247"/>
        </w:trPr>
        <w:tc>
          <w:tcPr>
            <w:tcW w:w="4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change in fair value of warrant liability</w:t>
            </w:r>
          </w:p>
        </w:tc>
        <w:tc>
          <w:tcPr>
            <w:tcW w:w="3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(7,044)</w:t>
            </w:r>
          </w:p>
        </w:tc>
      </w:tr>
      <w:tr>
        <w:trPr>
          <w:trHeight w:val="266"/>
        </w:trPr>
        <w:tc>
          <w:tcPr>
            <w:tcW w:w="4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FF0FC"/>
          </w:tcPr>
          <w:p>
            <w:pPr>
              <w:spacing w:after="0"/>
              <w:rPr>
                <w:sz w:val="23"/>
                <w:szCs w:val="23"/>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47"/>
        </w:trPr>
        <w:tc>
          <w:tcPr>
            <w:tcW w:w="4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66"/>
        </w:trPr>
        <w:tc>
          <w:tcPr>
            <w:tcW w:w="4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Gain (loss) on disposal of assets</w:t>
            </w:r>
          </w:p>
        </w:tc>
        <w:tc>
          <w:tcPr>
            <w:tcW w:w="340" w:type="dxa"/>
            <w:vAlign w:val="bottom"/>
            <w:tcBorders>
              <w:bottom w:val="single" w:sz="8" w:color="auto"/>
            </w:tcBorders>
            <w:shd w:val="clear" w:color="auto" w:fill="CFF0FC"/>
          </w:tcPr>
          <w:p>
            <w:pPr>
              <w:spacing w:after="0"/>
              <w:rPr>
                <w:sz w:val="23"/>
                <w:szCs w:val="23"/>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spacing w:after="0"/>
              <w:rPr>
                <w:sz w:val="23"/>
                <w:szCs w:val="23"/>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spacing w:after="0"/>
              <w:rPr>
                <w:sz w:val="23"/>
                <w:szCs w:val="23"/>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43"/>
        </w:trPr>
        <w:tc>
          <w:tcPr>
            <w:tcW w:w="494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6"/>
                <w:szCs w:val="16"/>
                <w:color w:val="auto"/>
              </w:rPr>
              <w:t>Total other expense</w:t>
            </w: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(10,015)</w:t>
            </w:r>
          </w:p>
        </w:tc>
        <w:tc>
          <w:tcPr>
            <w:tcW w:w="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(8,814)</w:t>
            </w:r>
          </w:p>
        </w:tc>
      </w:tr>
      <w:tr>
        <w:trPr>
          <w:trHeight w:val="301"/>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(58,679)</w:t>
            </w:r>
          </w:p>
        </w:tc>
        <w:tc>
          <w:tcPr>
            <w:tcW w:w="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(65,857)</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7,178</w:t>
            </w: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shd w:val="clear" w:color="auto" w:fill="000000"/>
          </w:tcPr>
          <w:p>
            <w:pPr>
              <w:spacing w:after="0" w:line="20" w:lineRule="exact"/>
              <w:rPr>
                <w:sz w:val="1"/>
                <w:szCs w:val="1"/>
                <w:color w:val="auto"/>
              </w:rPr>
            </w:pPr>
          </w:p>
        </w:tc>
        <w:tc>
          <w:tcPr>
            <w:tcW w:w="170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shd w:val="clear" w:color="auto" w:fill="000000"/>
          </w:tcPr>
          <w:p>
            <w:pPr>
              <w:spacing w:after="0" w:line="20" w:lineRule="exact"/>
              <w:rPr>
                <w:sz w:val="1"/>
                <w:szCs w:val="1"/>
                <w:color w:val="auto"/>
              </w:rPr>
            </w:pPr>
          </w:p>
        </w:tc>
        <w:tc>
          <w:tcPr>
            <w:tcW w:w="156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Revenue for the nine months ended September 30, 2026 was $10.8 million compared to less than $0.1 million for the nine months ended September 30, 2025. Revenue from the prior period was generated from the Novartis Agreement. The increase in revenue during the nine months ended September 30, 2026 was the result of revenue recognized under the TG License Agreement and a legacy ARCUS agriculture gene editing agreement.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9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36830</wp:posOffset>
            </wp:positionV>
            <wp:extent cx="22542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Direct research and development expenses by product candidate:</w:t>
            </w: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r>
      <w:tr>
        <w:trPr>
          <w:trHeight w:val="274"/>
        </w:trPr>
        <w:tc>
          <w:tcPr>
            <w:tcW w:w="6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PBGENE-HBV external development costs</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4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r>
      <w:tr>
        <w:trPr>
          <w:trHeight w:val="293"/>
        </w:trPr>
        <w:tc>
          <w:tcPr>
            <w:tcW w:w="62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PBGENE-DMD external development costs</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24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2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1,455</w:t>
            </w: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Platform development and early-stage research expenses:</w:t>
            </w: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
        </w:trPr>
        <w:tc>
          <w:tcPr>
            <w:tcW w:w="6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3"/>
        </w:trPr>
        <w:tc>
          <w:tcPr>
            <w:tcW w:w="6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Employee-related costs (including share-based compensation)</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14,182</w:t>
            </w:r>
          </w:p>
        </w:tc>
        <w:tc>
          <w:tcPr>
            <w:tcW w:w="24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2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(1,341)</w:t>
            </w:r>
          </w:p>
        </w:tc>
      </w:tr>
      <w:tr>
        <w:trPr>
          <w:trHeight w:val="274"/>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Laboratory supplies and services</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93"/>
        </w:trPr>
        <w:tc>
          <w:tcPr>
            <w:tcW w:w="6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CMOs and outsourced research and development</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2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(2,729)</w:t>
            </w:r>
          </w:p>
        </w:tc>
      </w:tr>
      <w:tr>
        <w:trPr>
          <w:trHeight w:val="274"/>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Facility-related costs, laboratory equipment, and maintenance</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93"/>
        </w:trPr>
        <w:tc>
          <w:tcPr>
            <w:tcW w:w="6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77"/>
        </w:trPr>
        <w:tc>
          <w:tcPr>
            <w:tcW w:w="620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Licensing fees and other research and development costs</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4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302"/>
        </w:trPr>
        <w:tc>
          <w:tcPr>
            <w:tcW w:w="62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38,249</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(1,459)</w:t>
            </w:r>
          </w:p>
        </w:tc>
      </w:tr>
      <w:tr>
        <w:trPr>
          <w:trHeight w:val="20"/>
        </w:trPr>
        <w:tc>
          <w:tcPr>
            <w:tcW w:w="62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shd w:val="clear" w:color="auto" w:fill="000000"/>
          </w:tcPr>
          <w:p>
            <w:pPr>
              <w:spacing w:after="0" w:line="20" w:lineRule="exact"/>
              <w:rPr>
                <w:sz w:val="1"/>
                <w:szCs w:val="1"/>
                <w:color w:val="auto"/>
              </w:rPr>
            </w:pPr>
          </w:p>
        </w:tc>
        <w:tc>
          <w:tcPr>
            <w:tcW w:w="1020" w:type="dxa"/>
            <w:vAlign w:val="bottom"/>
            <w:tcBorders>
              <w:top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-33655</wp:posOffset>
            </wp:positionV>
            <wp:extent cx="154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-205105</wp:posOffset>
            </wp:positionV>
            <wp:extent cx="1543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-2005330</wp:posOffset>
            </wp:positionV>
            <wp:extent cx="1543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7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2026 were $38.2 million, compared to $39.7 million for the nine months ended September 30, 2025. The decrease of $1.5 million was primarily due to reductions in research including completion of pre-IND research expenses for both the PBGENE-HBV and PBGENE-DMD programs, partially offset by an increase in our direct expenses in PBGENE-HBV and PBGENE-DMD program costs.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decrease in platform development and early-stage research expenses of $5.2 million was primarily the result of paused development of the PBGENE-3243 program as well as a reduction in employee-related costs. Direct expenses in PBGENE-DMD increased by $1.5 million as we activated clinical trial sites for the FUNCTION-DMD Phase 1/2 clinical trial, and direct expenses in PBGENE-HBV increased by $2.3 million as we continue to advance the Phase 1 ELIMINATE-B clinical trial.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$21.3 million for the nine months ended September 30, 2026, compared to $25.0 million for the nine months ended September 30, 2025. The decrease of approximately $3.7 million was primarily a result of operational discipline and lower employee-related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from Equity Method Investment</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the $0.1 million non-cash gain from equity investment was the result of a $2.3 million gain recorded from our proportionate share of Elo’s proceeds from a Series A-2 financing in such period, partially offset by our proportionate share of Elo’s loss over the period. In the nine months ended September 30, 2026, Elo was not classified as an equity method investment. There were no changes to the investment value for the nine months ended September 30, 2026 and any subsequent changes in the investment’s fair value will be recorded through other fair value adjustments.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Changes in Other Fair Value Adjustments</w:t>
      </w:r>
    </w:p>
    <w:p>
      <w:pPr>
        <w:spacing w:after="0" w:line="22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non-cash loss on changes in other fair value adjustments was $3.7 million for the nine months ended September 30, 2026, which is attributable to the decrease in fair value on the ordinary shares held for Imugene Limited. The non-cash loss on changes in other fair value adjustments was $2.4 million for the nine months ended September 30, 2025, which was primarily attributable to the decrease in fair value of the iECURE investment in the prior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Change in Fair Value of Warrant Liability</w:t>
      </w:r>
    </w:p>
    <w:p>
      <w:pPr>
        <w:spacing w:after="0" w:line="2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non-cash loss from change in fair value of the warrant liability was $8.3 million for the nine months ended September 30, 2026 compared to a non-cash loss of $1.2 million for the nine months ended September 30, 2025, which represents the mark-to-market fair value adjustment to the outstanding warrants issued in connection with the March 2024 Public Offering and November 2025 Public Offering.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Interest expense was $0.9 million for the nine months ended September 30, 2026 compared to $1.1 million for the nine months ended September 30, 2025 primarily driven by declining interest rates on the 2024 Term Loan over the comparison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Interest income was $2.8 million during the nine months ended September 30, 2026 compared to $3.5 million during the nine months ended September 30, 2025. The decrease of approximately $0.7 million was primarily driven by the Elo note receivable interest accrued for in the prior year as well as declining interest rates which was partially offset by a higher cash balance for the current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Disposal of Assets</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Gain on disposal of assets was less than $0.1 million during the nine months ended September 30, 2026 compared to the loss on disposal of assets of less than $0.1 million during the nine months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Since our formation in 2006, we have devoted substantially all of our resources to developing ARCUS, conducting research and development activities, recruiting skilled personnel, developing manufacturing processes, establishing our intellectual property portfolio and providing general and administrative support for these operations.</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have not generated any revenue from the sale of products. Our ability to generate any product revenue or product revenue sufficient to achieve profitability will depend on the successful development and eventual commercialization of one or more of our product candidates or the product candidates of our collaborators or other licensees for which we may receive milestone payments or royalties. As of September 30, 2026, we had an accumulated deficit of $586.9 million.</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as we advance the development of our product candidates. We expect that our research and development and general and administrative costs will increase over the long term, including in connection with conducting preclinical studies and potential clinical trials for our product candidates, contracting with CROs and CMOs, expanding our intellectual property portfolio and providing general and administrative support for our operations. If we obtain regulatory approval for any of our product candidates, we expect to incur significant expenses related to developing our commercialization capability to support product sales, marketing and distribution. As a result, we will need additional capital to fund our operations, which we may obtain from additional equity or debt financings, collaborations, licensing arrangements or other sources.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30, 2026, we had $108.0 million of cash, cash equivalents, and restricted cash under the 2024 Term Loan and compensatory arrangements with certain of our officers. Refer to Note 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accompanying notes to the financial statements for more information on these compensatory arrangements. Pursuant to our July 31, 2024 amended and restated loan and security agreement with Banc of California, as amended (the “2024 Loan and Security Agreement”), we are not entitled to borrow any additional amounts under the 2024 Term Loan and are required to maintain an aggregate balance in a cash security account with Banc of California (the “Cash Security Account”) at least equal to the outstanding principal amount of the 2024 Term Loan then outstanding.</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we believe that, as of the date of this Quarterly Report on Form 10-Q, existing cash and cash equivalents, continued fiscal and operating discipline, and availability of our at-the-market (“ATM”) facility will be sufficient to fund our operating expenses and capital expenditure requirements through 2028. There are no assurances that we will be successful in obtaining an adequate level of financing as and when needed to finance our operations on terms acceptable to us or at all, particularly in light of current global macroeconomic conditions. If we are unable to obtain sufficient financing on a timely basis or on favorable terms, we may be required to significantly delay, alter, reduce or eliminate one or more of our research or product development programs and/or commercialization efforts, or to grant rights to develop and market products or product candidates that we would otherwise prefer to develop and market ourselves. We may also be otherwise unable to execute our business plan or growth strategy, or capitalize on business opportunities as desired. Any of these events could materially adversely affect our financial condition and business prospects.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therapeutic products, we are unable to predict the timing or amount of our future expenses or when or if we will be able to achieve or maintain profitability. Even if we are able to generate revenue from product sales, we may not become profitable. If we fail to become profitable or are unable to sustain profitability on a continuing basis, then we may be required to raise additional capital, potentially on terms that are unfavorable to us, or we may be unable to continue our operations at planned levels and be forced to reduce or terminate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cash equivalents, and restricted cash totaled $108.0 million and $71.2 million as of September 30, 2026 and September 30, 2025,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presented: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0"/>
        </w:trPr>
        <w:tc>
          <w:tcPr>
            <w:tcW w:w="5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bottom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43"/>
        </w:trPr>
        <w:tc>
          <w:tcPr>
            <w:tcW w:w="5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flows used in operating activities:</w:t>
            </w:r>
          </w:p>
        </w:tc>
        <w:tc>
          <w:tcPr>
            <w:tcW w:w="2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47"/>
        </w:trPr>
        <w:tc>
          <w:tcPr>
            <w:tcW w:w="5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(58,679)</w:t>
            </w:r>
          </w:p>
        </w:tc>
        <w:tc>
          <w:tcPr>
            <w:tcW w:w="24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(65,857)</w:t>
            </w:r>
          </w:p>
        </w:tc>
        <w:tc>
          <w:tcPr>
            <w:tcW w:w="16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7,178</w:t>
            </w:r>
          </w:p>
        </w:tc>
      </w:tr>
      <w:tr>
        <w:trPr>
          <w:trHeight w:val="266"/>
        </w:trPr>
        <w:tc>
          <w:tcPr>
            <w:tcW w:w="5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Non-cash adjustments</w:t>
            </w:r>
          </w:p>
        </w:tc>
        <w:tc>
          <w:tcPr>
            <w:tcW w:w="280" w:type="dxa"/>
            <w:vAlign w:val="bottom"/>
            <w:shd w:val="clear" w:color="auto" w:fill="CFF0FC"/>
          </w:tcPr>
          <w:p>
            <w:pPr>
              <w:spacing w:after="0"/>
              <w:rPr>
                <w:sz w:val="23"/>
                <w:szCs w:val="23"/>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20,365</w:t>
            </w:r>
          </w:p>
        </w:tc>
        <w:tc>
          <w:tcPr>
            <w:tcW w:w="24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13,295</w:t>
            </w:r>
          </w:p>
        </w:tc>
        <w:tc>
          <w:tcPr>
            <w:tcW w:w="16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7,070</w:t>
            </w:r>
          </w:p>
        </w:tc>
      </w:tr>
      <w:tr>
        <w:trPr>
          <w:trHeight w:val="250"/>
        </w:trPr>
        <w:tc>
          <w:tcPr>
            <w:tcW w:w="572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24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5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(40,511)</w:t>
            </w: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(54,593)</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14,082</w:t>
            </w:r>
          </w:p>
        </w:tc>
      </w:tr>
      <w:tr>
        <w:trPr>
          <w:trHeight w:val="24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6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11,705</w:t>
            </w:r>
          </w:p>
        </w:tc>
        <w:tc>
          <w:tcPr>
            <w:tcW w:w="240" w:type="dxa"/>
            <w:vAlign w:val="bottom"/>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17,646</w:t>
            </w:r>
          </w:p>
        </w:tc>
        <w:tc>
          <w:tcPr>
            <w:tcW w:w="160" w:type="dxa"/>
            <w:vAlign w:val="bottom"/>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(5,941)</w:t>
            </w:r>
          </w:p>
        </w:tc>
      </w:tr>
      <w:tr>
        <w:trPr>
          <w:trHeight w:val="25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 cash, cash equivalents, and restricted cash</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(29,119)</w:t>
            </w:r>
          </w:p>
        </w:tc>
        <w:tc>
          <w:tcPr>
            <w:tcW w:w="240" w:type="dxa"/>
            <w:vAlign w:val="bottom"/>
          </w:tcPr>
          <w:p>
            <w:pPr>
              <w:spacing w:after="0"/>
              <w:rPr>
                <w:sz w:val="22"/>
                <w:szCs w:val="22"/>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(37,256)</w:t>
            </w:r>
          </w:p>
        </w:tc>
        <w:tc>
          <w:tcPr>
            <w:tcW w:w="16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8,137</w:t>
            </w:r>
          </w:p>
        </w:tc>
      </w:tr>
      <w:tr>
        <w:trPr>
          <w:trHeight w:val="21"/>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use of cash is to fund operating expenses, which consist primarily of research and development and general and administrative costs.</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during the nine months ended September 30, 2026 was $40.5 million compared to $54.6 million during the nine months ended September 30, 2025. The $14.1 million decrease in cash used in operating activities was driven by lower operating expenditures compared to the prior period, an increase of $7.1 million in non-cash adjustments and a $7.2 million decrease in net loss. The decrease was partially offset by $0.2 million in changes in operating assets and liabilities over the comparison period.</w:t>
      </w:r>
    </w:p>
    <w:p>
      <w:pPr>
        <w:spacing w:after="0" w:line="166"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The increase in non-cash adjustments was primarily driven by the net change in fair value of warrants during the nine months ended September 30, 2026 compared to during the nine months ended September 30, 2025. Also contributing to the increase in non-cash adjustments was the change in fair value of the Imugene ordinary shares during the nine months ended September 30,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primarily relates to cash expenditures to acquire leasehold additions, equipment, software and intangible assets. Net cash used in investing activities was $0.3 million in each of the nine months ended September 30, 2025 and nine months ended September 30, 2026 and was used for intangible asset purchases.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2026 was $11.7 million, compared to $17.6 million during the nine months ended September 30, 2025. The $5.9 million decrease in cash provided by financing activities during the nine months ended September 30, 2026 was primarily due to $16.4 million in net proceeds from the issuance of common stock through our ATM facility during the nine months ended September 30, 2025 compared to $10.9 million in net proceeds from the issuance of common stock through our ATM facility during the nine months ended September 30, 2026.</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227"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The stated interest rate under the 2024 Term Loan is equal to the greater of 1.50% below the Prime Rate or 4.5%. As of September 30, 2026, the outstanding principal balance on the 2024 Term Loan was $22.5 million, the stated interest rate was 5.50% and the effective interest rate was 5.69%.</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terms of the 2024 Loan and Security Agreement, we granted Banc of California a security interest in the Cash Security Account. We are required to maintain an aggregate unencumbered balance in the Cash Security Account at least equal to the outstanding principal amount of the 2024 Term Loan then outstanding.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We will continue to have funding requirements in connection with the continuation of our research and development efforts, potential investigational new drug (“IND”) and/or clinical trial application (“CTA”) submissions, potential clinical trials, and expected growth in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portfolios.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believe that, as of the date of this Quarterly Report on Form 10-Q, existing cash and cash equivalents, continued fiscal and operating discipline, and availability of our ATM facility will be sufficient to fund our operating expenses, including our PBGENE-HBV and PBGENE-DMD clinical data milestones, and capital expenditure requirements through 2028. We have based these estimates on assumptions that may prove to be imprecise, and we could utilize our available capital resources sooner than we expect. Because of the numerous risks and uncertainties associated with research, development and commercialization of pharmaceutical products, it is difficult to estimate with certainty the amount of our working capital requirements. Our future funding requirements will depend on many factors, including:</w:t>
      </w:r>
    </w:p>
    <w:p>
      <w:pPr>
        <w:spacing w:after="0" w:line="18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collaborate and partner with third parties to fund any or all of our programs;</w:t>
      </w:r>
    </w:p>
    <w:p>
      <w:pPr>
        <w:spacing w:after="0" w:line="11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progress, costs and results of our additional research and preclinical development programs including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pipeline and our planned IND or CTA submissions and potential BLA submissions;</w:t>
      </w:r>
    </w:p>
    <w:p>
      <w:pPr>
        <w:spacing w:after="0" w:line="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agreements and the financial terms of such agreements;</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any product candidates that we may derive from ARCUS or any other product candidates we may develop alone or with collaborators;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rights to other products, product candidates or technologies;</w:t>
      </w:r>
    </w:p>
    <w:p>
      <w:pPr>
        <w:spacing w:after="0" w:line="11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protecting our intellectual property rights and defending against any intellectual property-related claims; and</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product candidates for which we or our collaborators obtain marketing approval.</w:t>
      </w:r>
    </w:p>
    <w:p>
      <w:pPr>
        <w:spacing w:after="0" w:line="5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a combination of public or private equity or debt financings, collaboration agreements,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funding, strategic alliances, licensing arrangements and marketing and/or distribution arrangements. See “</w:t>
      </w:r>
      <w:r>
        <w:rPr>
          <w:rFonts w:ascii="Times New Roman" w:cs="Times New Roman" w:eastAsia="Times New Roman" w:hAnsi="Times New Roman"/>
          <w:sz w:val="18"/>
          <w:szCs w:val="18"/>
          <w:i w:val="1"/>
          <w:iCs w:val="1"/>
          <w:color w:val="auto"/>
        </w:rPr>
        <w:t>Risk Factors–– We will need substantial additional funding, and if we are unable to raise a sufficient amount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when needed on acceptable terms, or at all, we may be forced to delay, reduce or eliminate some or all of our research programs, product development activities and commercialization efforts.</w:t>
      </w:r>
      <w:r>
        <w:rPr>
          <w:rFonts w:ascii="Times New Roman" w:cs="Times New Roman" w:eastAsia="Times New Roman" w:hAnsi="Times New Roman"/>
          <w:sz w:val="18"/>
          <w:szCs w:val="18"/>
          <w:color w:val="auto"/>
        </w:rPr>
        <w:t>” in Part II. Item 1A. of this Quarterly Report on Form 10-Q for a further discussion of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and obtain adequate amounts of funding in connection with our continuing operations.</w:t>
      </w:r>
    </w:p>
    <w:p>
      <w:pPr>
        <w:spacing w:after="0" w:line="20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our stockholders’ ownership interest will be diluted, and the terms of these securities may include liquidation or other preferences that adversely affect the rights of our shareholders.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other third-party funding, collaboration agreements, strategic alliances, licensing arrangements or marketing and distribution arrangements, we may have to relinquish valuable rights to our technologies, future revenue streams, product development and research programs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or product candidates or grant licenses on terms that may not be favorable to us. If we are unable to raise additional funds through equity or debt financings when needed, we may be required to significantly delay, alter, reduce or eliminate one or more of our research or product development programs and/or commercialization efforts, or to grant rights to develop and market products or product candidates that we would otherwise prefer to develop and market ourselves. We may also be otherwise unable to execute our business plan, growth strategy, or capitalize on business opportunities as desired.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Offering</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2025, we entered into an underwriting agreement relating to the offering, issuance and sale of an aggregate of 10,815,000 shares of our common stock and accompanying one-half warrants to purchase up to an aggregate of 5,407,500 shares of our common stock at a combined offering price of $6.14 per share. Additionally, in lieu of common stock to certain investors, pre-funded warrants to purchase up to 1,400,000 shares of common stock and accompanying one-half warrants to purchase up to 700,000 shares of common stock at a combined offering price of $6.139995. Each whole warrant has a five year term and an exercise price of $7.25 per share. The offering was made pursuant to a registration statement on Form S-3. Gross proceeds from the transaction were $75.0 million before deducting underwriting discounts and commissions and offering expenses of approximately $5.0 million. We intend to use the net proceeds of the offering to fund ongoing and planned research and development, and for working capital and other general corporate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the contractual obligations and commitments as described elsewhere in this Quarterly Report on Form 10-Q with respect to leases, the 2024 Term Loan, and intellectual property licenses, we also enter into contracts in the normal course of business with CMOs, universities, and other third parties for preclinical research studies, testing, manufacturing services, and other services and products for operating purposes. There have been no material changes to our contractual obligations from those described in our Annual Report on Form 10-K for the fiscal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material capital expenditure commitments as of September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“Item 7. Management’s Discussion and Analysis of Financial Condition and Results of Operations—Critical Accounting Policies and Use of Estimates” in our Annual Report on Form 10-K. We have reviewed those critical accounting policies and estimates for the nine months ended September 30, 2026. There have been no significant changes in our critical accounting policies and estimates from those disclosed in our Annual Report on Form 10-K for the fiscal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under applicable regulations promulgated by the SEC. We will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As a smaller reporting company, we are able to take advantage of certain exemptions from disclosure requirements, including presenting only the two most recent fiscal years of audited financial statements and reduced disclosure obligations regarding executive compensation in our periodic reports and proxy statements.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 exemptions available to smaller reporting companies. If investors find our common stock less attractive as a result, there may be a less active trading market for our common stock and our stock price may be reduced or more volatile. To the extent we take advantage of such reduced disclosure obligations, it may also make comparison of our financial statements with other public companies difficult or impossible.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 Our interest-earning assets consist of cash and cash equivalents, which are denominated in U.S. dollars. We had cash, cash equivalents and restricted cash of $108.0 million, or approximately 90% of our total assets, on September 30, 2026 and $137.2 million, or approximately 89% of our total assets, on December 31, 2025. Interest income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earned was </w:t>
      </w:r>
      <w:r>
        <w:rPr>
          <w:rFonts w:ascii="Times New Roman" w:cs="Times New Roman" w:eastAsia="Times New Roman" w:hAnsi="Times New Roman"/>
          <w:sz w:val="16"/>
          <w:szCs w:val="16"/>
          <w:color w:val="auto"/>
        </w:rPr>
        <w:t>$2.8 million and $3.5 million</w:t>
      </w:r>
      <w:r>
        <w:rPr>
          <w:rFonts w:ascii="Times New Roman" w:cs="Times New Roman" w:eastAsia="Times New Roman" w:hAnsi="Times New Roman"/>
          <w:sz w:val="18"/>
          <w:szCs w:val="18"/>
          <w:color w:val="auto"/>
        </w:rPr>
        <w:t xml:space="preserve"> for the nine months ended September 30, 2026 and September 30, 2025, respectively. Our interest income is sensitive to changes in the general level of interest rates, primarily U.S. interest rates, however, we do not anticipate fluctuations in interest rates to have a material impact on our condensed financial statements. A hypothetical 10% change in interest rates would not have a material impact on the value of our cash and cash equivalents as of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investing in our common stock, you should consider carefully the risks described below, together with the other information included or incorporated by reference in this Quarterly Report on Form 10-Q. The occurrence of any of the following risks could materially adversely affect our business, financial condition, results of operations and future growth prospects. In these circumstances, the market price of our common stock could decline, and you may lose all or part of your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Limited Operating History and Need for Additional Capital</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to continue to incur losses for the foreseeable future. We have not been profitable and may not achieve or maintain profitability.</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do not expect to be profitable in the foreseeable future. Since inception, we have incurred significant operating losses. If our product candidates are not successfully developed and approved, we may never generate any revenue from product sales. Our net loss was </w:t>
      </w:r>
      <w:r>
        <w:rPr>
          <w:rFonts w:ascii="Times New Roman" w:cs="Times New Roman" w:eastAsia="Times New Roman" w:hAnsi="Times New Roman"/>
          <w:sz w:val="16"/>
          <w:szCs w:val="16"/>
          <w:color w:val="auto"/>
        </w:rPr>
        <w:t>$58.7 million</w:t>
      </w:r>
      <w:r>
        <w:rPr>
          <w:rFonts w:ascii="Times New Roman" w:cs="Times New Roman" w:eastAsia="Times New Roman" w:hAnsi="Times New Roman"/>
          <w:sz w:val="18"/>
          <w:szCs w:val="18"/>
          <w:color w:val="auto"/>
        </w:rPr>
        <w:t xml:space="preserve"> for the nine months ended September 30, 2026. As of September 30, 2026, we had an accumulated deficit of $586.9 million. In addition, we have not commercialized any products and have never generated any revenue from product sales. Substantially all of our losses have resulted from expenses incurred in connection with our research and development activities, including our preclinical development activities, and from general and administrative costs associated with our operations. We have financed our operations primarily through proceeds from upfront and milestone payments from collaboration and licensing agreements, our IPO, private placements of our common stock, convertible preferred stock and convertible debt financings, underwritten and ATM offerings of common stock and warrants, and borrowings on credit facilities. The amount of our future net losses will depend, in part, on the amount and growth rate of our expenses and our ability to generate revenues.</w:t>
      </w:r>
    </w:p>
    <w:p>
      <w:pPr>
        <w:spacing w:after="0" w:line="1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All of our current or future product candidates will require substantial additional development time and resources before we may realize revenue from product sales, if at all. We expect to continue to incur significant expenses and operating losses for the foreseeable future. We anticipate our expenses will increase if and as we:</w:t>
      </w:r>
    </w:p>
    <w:p>
      <w:pPr>
        <w:spacing w:after="0" w:line="6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current research and development programs, including conducting laboratory and preclinical studies for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potential clinical trials for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assess, acquire or develop additional research programs or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may successfully complete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that may obtain marketing approval;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manufacturers or suppliers of biological materials or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genome editing technology;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attract new and retain existing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facilities;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increased costs as a result of operating as a public company.</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will be several years, if ever, before we obtain regulatory approval for, and are ready for commercialization of, a therapeutic product candidate. Even if a therapeutic product candidate receives regulatory approval, future revenues for</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such product candidate will depend upon many factors, such as, as applicable, the size of any markets in which such product candidate is approved for sale, the market share captured by such product candidate, including as a result of the market acceptance of such product candidate and the effectiveness of manufacturing, sales, marketing and distribution operations related to such product candidate, the terms of any collaboration, license, or other strategic arrangement we may have with respect to such product candidate and levels of reimbursement from third-party payors. If we are unable to develop and commercialize one or more product candidates either alone or with collaborators, or if revenues from any product candidate that receives marketing approval or is commercialized are insufficient, we may not achieve profitability. Even if we do achieve profitability, we may not be able to sustain or increase profitability. If we are unable to achieve and maintain profitability, the value of our common stock will be materially adversely affected.</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a sufficient amount of capital when needed on acceptable terms, or at all, we may be forced to delay, reduce or eliminate some or all of our research programs, product development activities and commercialization efforts.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process of identifying product candidates and conducting preclinical studies and potential clinical trials is time-consuming, expensive, uncertain and takes years to complete. We expect our expenses to increase in connection with our ongoing activities, particularly as we identify, continue the research and development of, initiate potential clinical trials of, and seek marketing approval for, product candidates. In addition, if any therapeutic product candidate that we develop alone or with collaborators obtains marketing approval, we may incur significant commercialization expenses related to product manufacturing, sales, marketing and distribution efforts. Furthermore, we have incurred, and expect to continue to incur, additional costs associated with operating as a public company. Accordingly, we will need to obtain substantial additional funding in connection with our continuing operations. If we are unable to obtain sufficient funding on a timely basis or on favorable terms, we may be required to significantly delay, alter, reduce, or eliminate one or more of our research or product development programs and/or commercialization efforts, or to grant rights to develop and market products or product candidates that we would otherwise prefer to develop and market ourselves. We may also be otherwise unable to execute our business plan or growth strategy or capitalize on business opportunities as desired. Any of these events could materially adversely affect our financial condition and business prospects.</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believe that, as of the date of this Quarterly Report on Form 10-Q, existing cash and cash equivalents, continued fiscal and operating discipline, and availability of our ATM facility will be sufficient to fund our operating expenses and capital expenditure requirements through 2028. We expect our cash runway to be sufficient to fund PBGENE-HBV and PBGENE-DMD clinical data milestones through 2028. We have based this estimate on assumptions that may prove to be wrong, and we could use our capital resources sooner than we currently expect. Our operating plans and other demands on our cash resources may change as a result of many factors, including the outcomes of preclinical studies and clinical trials, our ability to obtain regulatory approval, investor interest in and the likelihood of commercial success of particular product candidates and programs, and other factors unknown to us, and we may need to seek additional funds sooner than planned, through public or private equity or debt financings or other sources, such as strategic collaborations and licensing arrangements, or abandon one or more product candidates or programs in the event that sufficient funding is not available.</w:t>
      </w:r>
    </w:p>
    <w:p>
      <w:pPr>
        <w:spacing w:after="0" w:line="1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Attempting to secure additional financing may divert our management from our day-to-day activities, which may adversely affect our ability to develop product candidates. Our future capital requirements will depend on many factors, including:</w:t>
      </w:r>
    </w:p>
    <w:p>
      <w:pPr>
        <w:spacing w:after="0" w:line="162" w:lineRule="exact"/>
        <w:rPr>
          <w:sz w:val="20"/>
          <w:szCs w:val="20"/>
          <w:color w:val="auto"/>
        </w:rPr>
      </w:pPr>
    </w:p>
    <w:p>
      <w:pPr>
        <w:ind w:left="660" w:right="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progress, costs, results and analysis of results of research activities, preclinical studies and potential clinical trials for any of our product candidates;</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manufacturing, sales, marketing and distribution activities for any product candidates that receive regulatory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or future collaborative and other out-licensing relationships;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exercise any development or commercialization rights under collaborative relationships;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collaborative or other out-licensing relationships on favorable terms, or at all;</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expand our operations and the timing of such expansion, including with respect to facilities, employees and product development platforms;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technologies or product candidates;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other businesses;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operate as a public company;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if any, received from commercial sales of any products that we develop alone or with collaborators that receive regulatory approval.</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Even if we believe we have sufficient funds for our current or future operating plans, we may continue to seek additional capital if market conditions are favorable or in light of specific strategic considerations. Adequate additional financing may not be available to us on acceptable terms, or at all.</w:t>
      </w:r>
    </w:p>
    <w:p>
      <w:pPr>
        <w:spacing w:after="0" w:line="15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debt instruments may restrict our ability to pursue our business strategies, and our ability to access credit on favorable terms, if necessary, for the funding of our operations, trials and programs may be limited due to changes in credit markets.</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July 2024, we entered into an amended and restated loan and security agreement, as amended (the “2024 Loan and Security Agreement”), with Banc of California pursuant to which Banc of California provided us with a term loan with a principal amount of $22.5 million (the “2024 Term Loan”). Pursuant to the terms of the 2024 Loan and Security Agreement, we granted Banc of California a security interest in the Cash Security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2024 Loan and Security Agreement requires us to comply with various covenants that limit our ability to, among other things:</w:t>
      </w:r>
    </w:p>
    <w:p>
      <w:pPr>
        <w:spacing w:after="0" w:line="1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name, location, executive office or executive management, business, fiscal year, or control;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mergers with or into other entities;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less than $22.5 million of unencumbered cash in the Cash Security Account.</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the agreements and instruments governing future indebtedness that we may enter into may include such restrictions or additional restrictions and financial covenants. Restrictions in our current and future indebtedness could inhibit our ability to pursue our business strategies.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the credit markets and the financial services industry have been experiencing disruption characterized by the bankruptcy, failure, collapse or sale of various financial institutions, increased volatility in securities prices, diminished liquidity and credit availability and intervention from the U.S. and other governments. As a result, the cost and availability of credit has been and may continue to be adversely affected. We cannot be certain that funding will be available when and as needed, and if available, on acceptable terms if at all. If we are unable to obtain funding when needed and on acceptable terms, our financial condition and business prospects could be adversely impacted.</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and/or debt financings and collaborations, licensing agreements or other strategic arrangements. To the extent that we raise additional capital through the sale of equity or convertible debt securities, including in underwritten and ATM offerings, stockholders’ ownership interest will be diluted, and the terms of such securities may include liquidation or other preferences that adversely affect common stockholders’ rights. For example, in 2025, 4.4 million shares were sold through the ATM facility. Additionally, in March 2024, we entered into an underwriting agreement relating to the offering, issuance and sale of an aggregate of 2,500,000 shares of our common stock and warrants to purchase up to an aggregate of 2,500,000 shares of our common stock at a combined offering price of $16.00 per share. On November 10, 2025, we also entered into an underwriting agreement relating to the issuance and sale of 10,815,000 shares of our common stock and accompanying one-half warrants to purchase up to 5,407,500 shares of our common stock at a combined price of $6.14 per share. Further, in lieu of common stock to certain investors, we issued pre-funded warrants to purchase up to 1,400,000 shares of our common stock and accompanying one-half warrants to purchase up to 700,000 shares of our common stock at a combined price of $6.139995 per share, both of which resulted in dilution to our existing stockholders. Moreover, there is a provision in each warrant under which we may be required to purchase the warrants from the holders by paying cash in an amount equal to the Black-Scholes value of the remaining unexercised portion of the warrants in certain specified situations involving a “fundamental transaction” (as defined in the warrants), which generally includes a merger with another person or entity, the sale, transfer or other disposition of all or substantially</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all of our assets, another person or entity becoming the beneficial owner of 50% of the outstanding shares of our common stock, any reclassification, reorganization or recapitalization of our common stock, any compulsory share exchange pursuant to which our common stock is effectively converted into or exchanged for other securities, cash or property, any plan or proposal for our voluntary or involuntary dissolution, liquidation or the winding up of our affairs, or if other conditions are met. It may be uncertain whether a particular transaction or series of transactions will trigger the cash-settlement provision or if the provision is triggered, what the actual payment due to a warrant holder would be in such circumstance, but any such payment could be material to us and could materially and adversely affect our financial condition. Furthermore, we may find it more difficult to raise additional equity capital needed for our business or to pursue strategic alternatives or other corporate transactions while the warrants are outstanding.</w:t>
      </w:r>
    </w:p>
    <w:p>
      <w:pPr>
        <w:spacing w:after="0" w:line="18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To the extent that we raise additional capital through debt financing, it would result in increased fixed payment obligations and a portion of our operating cash flows, if any, being dedicated to the payment of principal and interest on such indebtedness. In addition, debt financing may involve agreements that include restrictive covenants that impose operating restrictions, such as restrictions on the incurrence of additional debt, the making of certain capital expenditures or the declaration of dividends. To the extent we raise additional capital through arrangements with collaborators or otherwise, we may be required to relinquish some of our technologies, research programs, product development activities, product candidates and/or future revenue streams, license our technologies and/or product candidates on unfavorable terms or otherwise agree to terms unfavorable to us. Furthermore, any capital raising efforts may divert our management from their day-to-day activities, which may adversely affect our ability to advance research programs, product development activities or product candidates.</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evaluate our current business and future prospects and may increase the risk of your investment.</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genome editing company with a limited operating history. We formed our company in 2006 and spent the first nine years of our company’s history developing and refining our core technology, and only during the past several years have we focused our efforts on advancing the development of product candidates.</w:t>
      </w:r>
    </w:p>
    <w:p>
      <w:pPr>
        <w:spacing w:after="0" w:line="17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Investment in biopharmaceutical product development is a highly speculative endeavor. It entails substantial upfront capital expenditures, and there is significant risk that any product candidate will fail to demonstrate adequate efficacy or an acceptable safety profile, obtain any required regulatory approvals or become commercially viable. Our genome editing platform and the technologies we are using are new and unproven. We have not yet demonstrated an ability to successfully complete any clinical trials, obtain any required marketing approvals, manufacture products, conduct sales, marketing and distribution activities, or arrange for a third party to do any of the foregoing on our behalf. Consequently, any predictions made about our future success or viability may not be as accurate as they could be if we had a history of successfully developing and commercializing products.</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Additionally, we encounter risks and difficulties frequently experienced by new and growing companies in rapidly developing and changing industries, particularly the nascent and swiftly evolving gene editing field, including challenges in forecasting accuracy, determining appropriate investments of our limited resources, gaining market acceptance of our technology, managing a complex regulatory landscape and developing new product candidates, which may make it more difficult to evaluate our likelihood of success. Our current operating model may require changes in order for us to adjust to these challenges or scale our operations efficiently. Our limited operating history, particularly in light of the rapidly evolving nature of the biopharmaceutical industry and the genome editing field, may make it difficult to evaluate our technology and business prospects or to predict our future performance. Additionally, due to the stage of our operations, we expect that our financial condition and operating results may fluctuate significantly from quarter to quarter as a result of many factors as we build our business, and you should not rely upon the results of any particular quarterly or annual period as indications of future operating performance.</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on pursuing particular research programs or product candidates that may be less successful or profitable than other programs or product candidates.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Research programs to identify new product candidates and product development platforms require substantial technical, financial and human resources. We are continually evaluating our business strategy and may modify this strategy in light of developments in our business and other factors. We may focus our efforts and resources on potential programs, product candidates or product development platforms that ultimately prove to be unsuccessful. Any time, effort and financial resources we expend on identifying and researching new product candidates and product development platforms may divert our attention from, and adversely affect our ability to continue, development and commercialization of existing research</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programs, product candidates and product development platforms. Clinical trials of any of our product candidates may never commence despite the expenditure of significant resources in pursuit of their development, and our spending on current and future research and development programs, product candidates and product development platforms may not yield any commercially viable products. As a result of having limited financial and managerial resources, we may forego or delay pursuit of opportunities that later prove to have greater commercial potential. For example, as part of a strategic prioritization exercise in 2023, we announced that while we will continue to pursue gene knock-out opportunistically, the proof-of-concept data continues to lead toward prioritizing programs involving complex edits and gene insertion. There is no guarantee that this ongoing prioritization review will ultimately lead to any viable commercial products, profitable market opportunities or other value-enhancing activities. Our resource allocation decisions may cause us to fail to timely capitalize on viable commercial products or profitable market opportunities. Additionally, if we do not accurately evaluate the commercial potential or target market for a particular product candidate, we may relinquish valuable rights to that product candidate through collaboration, licensing or other strategic arrangements in cases in which it would have been more advantageous for us to retain sole development and commercialization rights to such product candidate.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Identification, Development and Commercialization of Our Product Candidates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ARCUS is a novel technology, making it difficult to predict the time, cost and potential success of product candidate development. We have not yet been able to assess the safety and efficacy of most of our product candidates in humans.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depends on our ability to develop and commercialize product candidates using our novel genome editing technology. The novel nature of our technology makes it difficult to accurately predict the developmental challenges we may face for product candidates as they proceed through research, preclinical studies and clinical trials. There have been a limited number of clinical trials of products created with genome editing technologies, four of which have utilized our technology. Because our therapeutic research programs are all in preclinical or early clinical stages, we have only been able to assess limited safety and efficacy data of our product candidates in human trials. Current or future product candidates may not meet safety and efficacy requirements for continued development or ultimate approval in humans and may cause significant adverse events or toxicities. All of our product candidates are designed to act at the level of DNA, and because animal DNA differs from human DNA, it will be difficult for us to test our therapeutic product candidates in animal models for either safety or efficacy, and any testing that we conduct may not translate to their effects in humans. Moreover, animal models may not exist for some of the targets, diseases or indications that we intend to pursue. Our product candidates may not be able to properly implement desired genetic edits with sufficient accuracy to be viable therapeutic products, and there may be long-term effects associated with them that we cannot predict at this time. Any problems we experience related to the development of our genome editing technology or any of our or our collaborators’ research programs or product candidates may cause significant delays or unanticipated costs, and we may not be able to satisfactorily solve such problems. These factors may prevent us or our collaborators from completing our preclinical studies or any clinical trials that we or our collaborators have ongoing or may initiate, or profitably commercializing any product candidates on a timely basis, or at all. We may also experience delays in developing a sustainable, reproducible and scalable manufacturing process as we develop and prepare to commercialize product candidates. These factors make it more difficult for us to predict the time, cost and potential success of product candidate development. If our product development activities take longer or cost more than anticipated, or if they ultimately are not successful, it would materially adversely affect our business and results of operations.</w:t>
      </w:r>
    </w:p>
    <w:p>
      <w:pPr>
        <w:spacing w:after="0" w:line="18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genome editing field is relatively new and evolving rapidly, and other existing or future technologies may provide significant advantages over our ARCUS platform, which could materially harm our business.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To date, we have focused our efforts on optimizing our proprietary genome editing technology and exploring its potential applications. ARCUS is a novel genome editing technology using sequence-specific DNA-cutting enzymes, or nucleases, that is designed to perform modifications in the DNA of living cells and organisms. Other companies have previously undertaken research and development of genome editing technologies using zinc finger nucleases, transcription activator-like effector nucleases (“TALENs”) and clustered regularly interspaced short palindromic repeats associated protein-9 nuclease (“CRISPR/Cas9”), although none has obtained marketing approval for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product candidate developed using such technologies. Other genome editing technologies in development or commercially available, or other existing or future technologies, may lead to treatments or products that may be considered better suited for use in human therapeutics, which could reduce or eliminate our commercial opportunity.</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successful development and translation of ARCUS, and due to the early stages of our product development operations, we cannot give any assurance that any product candidates will be successfully developed and commercialized.</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We are at an early stage of development of the product candidates currently in our programs and are continuing to develop our ARCUS technology. To date, we have invested substantially all of our efforts and financial resources to develop ARCUS and advance our current product development programs, including conducting preclinical studies, early stage clinical trials and other early research and development activities, and providing general and administrative support for these operations. Due to the strategic transaction with Imugene for our azer-cel for cancer, as well as our CAR T infrastructure and cell therapy teams, and the TG License Agreement, we are now solely focused on leveraging our ARCUS genome editing platform to advance a new potential class of gene editing programs that go beyond gene knockouts in the liver and carry out sophisticated edits such as gene insertions, gene excision, and gene elimination in human therapeutics. We are also currently using our ARCUS technology to develop our lead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programs targeting HBV and DMD, among other indications. Our future success is dependent on our ability to successfully develop and, where applicable, obtain regulatory approval for, including marketing approval for, and then successfully commercialize, product candidates, either alone or with collaborators. We have not yet developed and commercialized any product candidates, and we may not be able to do so, alone or with collaborators.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programs may not lead to the successful identification, development or commercialization of any products.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success of our business depends primarily upon our ability to identify, develop and commercialize products using our genome editing technology. Our named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development programs, PBGENE-HBV and PBGENE-DMD, are early stage clinical programs. We may be unsuccessful in advancing these programs into later stage clinical development or in identifying and developing additional product candidates. Our ability to identify and develop product candidates is subject to the numerous risks associated with preclinical and early stage biotechnology development activities, including that:</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ARCUS may be ineffective in identifying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assemble sufficient resources to acquire or discover additional product candidates;</w:t>
      </w:r>
    </w:p>
    <w:p>
      <w:pPr>
        <w:spacing w:after="0" w:line="11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collaborative arrangements to facilitate development of product candidates, the terms of our collaborative arrangements may change, or our collaborative arrangements may be terminated;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a product candidate may be too complex, expensive or otherwise difficult to navigate successfully; or</w:t>
      </w:r>
    </w:p>
    <w:p>
      <w:pPr>
        <w:spacing w:after="0" w:line="117"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be shown to not be effective, have harmful side effects or otherwise pose risks not outweighed by such product candidate’s benefits or have other characteristics that may make the products impractical to manufacture, unlikely to receive any required marketing approval, unlikely to generate sufficient market demand or otherwise not achieve profitable commercialization.</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current development programs and future product candidates may never be approved. Failure to successfully identify and develop new product candidates and obtain regulatory approvals for our products would have a material adverse effect on our business and financial condition and could cause us to cease operations.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do not achieve projected development milestones or commercialization in the announced or expected timeframes, the further development or commercialization of such product candidates may be delayed, and our business will be harmed.</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sometimes estimate, or may in the future estimate, the timing of the accomplishment of various scientific, clinical, manufacturing, regulatory and other product development objectives. These milestones may include our expectations regarding the commencement or completion of scientific studies or clinical trials, the submission of regulatory filings, the receipt of marketing approval or the realization of other commercialization objectives. The achievement of many of these milestones may be outside of our control. All of these milestones are based on a variety of assumptions, including assumptions regarding capital resources, constraints and priorities, progress of and results from development activities, participation of third parties including outside collaborators or vendors, the receipt of key regulatory approvals or actions, and other factors, any of which may cause the timing of achievement of the milestones to vary considerably from our</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estimates. If we or our collaborators fail to achieve announced milestones in the expected timeframes, the commercialization of the product candidates may be delayed, our credibility may be undermined, our business and results of operations may be harmed, and the trading price of our common stock may decline.</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public perception of genome editing may negatively impact the developmental progress or commercial success of products that we develop alone or with collaborators.</w:t>
      </w:r>
    </w:p>
    <w:p>
      <w:pPr>
        <w:spacing w:after="0" w:line="15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developmental and commercial success of our current development programs or future product candidates, or any that we develop alone or with collaborators in the future, will depend in part on public acceptance of the use of genome editing technology for the prevention or treatment of human diseases. Adverse public perception of applying genome editing technology for these purposes may negatively impact our ability to raise capital or enter into strategic agreements for the development of product candidates.</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therapeutic product candidates may involve editing the human genome. The commercial success of any such potential therapeutic products, if successfully developed and approved, may be adversely affected by claims that genome editing is unsafe, unethical or immoral. This may lead to unfavorable public perception and the inability of any therapeutic product candidates to gain the acceptance of the public or the medical community. Unfavorable public perceptions may also adversely impact our or our collaborators’ ability to enroll clinical trials for therapeutic product candidates. Moreover, success in commercializing any therapeutic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 Publicity of any adverse events in, or unfavorable results of, preclinical studies or clinical trials for any current or future product candidates, including, without limitation, patient deaths, or with respect to the studies or trials of our competitors or of academic researchers utilizing genome editing technologies, even if not ultimately attributable to our technology or product candidates, could negatively influence public opinion. Negative public perception about the use of genome editing technology in human therapeutics, whether related to our technology or a competitor’s technology, could result in increased governmental regulation, delays in the development and commercialization of product candidates or decreased demand for the resulting products, any of which may have a negative impact on our business and financial condition.</w:t>
      </w:r>
    </w:p>
    <w:p>
      <w:pPr>
        <w:spacing w:after="0" w:line="18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industries experiencing rapid technological change, and there is a possibility that our competitors may achieve regulatory approval before us or develop product candidates or treatments that are safer or more effective than ours, which may harm our financial condition and our ability to successfully market or commercialize any of our product candidates.</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and the genome editing field is characterized by rapidly changing technologies, significant competition and a strong emphasis on intellectual property. We will face competition with respect to our current and future therapeutic product candidates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products.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similar to our approach, and others are based on entirely different approaches. We principally compete with others developing and utilizing genome editing technology in the human health sector. We expect that our operations focused on developing products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will face substantial competition from others focusing on gene therapy treatments, especially those that may focus on conditions that our product candidates target. Moreover, any human therapeutics products that we develop alone or with collaborators will compete with existing standards of care for the diseases and conditions that our product candidates target and other types of treatments, such as small molecule, antibody or protein therapies.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collaborators,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develop alone or with collaborators or that would render any such products obsolete or non-competitive. Our competitors also may obtain FDA or other regulatory approval for their products more rapidly than we or our collaborators may obtain approval for any that we develop, which could result in our competitors establishing a strong market position before we are able to enter the market. Additionally, technologies developed by our competitors may render our product candidates uneconomical or obsolete, and we or our collaborators may not be successful in marketing any product candidates we may develop against competitors. The availability of our competitors’ products could limit the demand, and the price we are able to charge, for any products that we develop alone or with collaborators.</w:t>
      </w:r>
    </w:p>
    <w:p>
      <w:pPr>
        <w:spacing w:after="0" w:line="19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profitability, if any, will depend in part on our ability and the ability of our collaborators or other licensees to commercialize any products that we, our collaborators, or our other licensees may develop in markets throughout the world. Commercialization of products in various markets could subject us to risks and uncertainties, including:</w:t>
      </w:r>
    </w:p>
    <w:p>
      <w:pPr>
        <w:spacing w:after="0" w:line="17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on a country-by-country basis, the applicable marketing authorization from the competent regulatory authority;</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regulatory, tax, accounting, labor and other legal requirements in each jurisdiction that we or our collaborators pursue;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medical practices and customs affecting acceptance in the marketplace;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controls, trade restrictions or changes in tariffs;</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in particular foreign economies and markets, or civil unrest or war, such as the current conflict between Russia and Ukraine;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have limited or no prior experience in these areas, and our collaborators may have limited experience in these areas. Failure to successfully navigate these risks and uncertainties may limit or prevent market penetration for any products that we or our collaborators may develop, which would limit their commercial potential and our revenues.</w:t>
      </w:r>
    </w:p>
    <w:p>
      <w:pPr>
        <w:spacing w:after="0" w:line="172" w:lineRule="exact"/>
        <w:rPr>
          <w:sz w:val="20"/>
          <w:szCs w:val="20"/>
          <w:color w:val="auto"/>
        </w:rPr>
      </w:pPr>
    </w:p>
    <w:p>
      <w:pPr>
        <w:jc w:val="both"/>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products that we develop alone or with collaborators.</w:t>
      </w:r>
    </w:p>
    <w:p>
      <w:pPr>
        <w:spacing w:after="0" w:line="15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face an inherent risk of product liability and professional indemnity exposure related to the testing in clinical trials of our product candidates. We will face an even greater liability risk if we commercially sell any products that we or our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collaborators may develop for human use. Manufacturing defects, errors in product distribution or storage processes, improper administration or application and known or unknown side effects of product usage may result in liability claims against us or third parties with which we have relationships. These actions could include claims resulting from acts by our collaborators, licensees and subcontractors over which we have little or no control.</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example, our liability could be sought by patients participating in clinical trials for potential therapeutic product candidates as a result of unexpected side effects, improper product administration or the deterioration of a patient’s condition, patient injury or even death. Criminal or civil proceedings might be filed against us by patients, regulatory authorities, biopharmaceutical companies and any other third party using or marketing any product candidates or products that we develop alone or with collaborators. On occasion, large judgments have been awarded in class action lawsuits based on products that had unanticipated adverse effects. If we cannot successfully defend ourselves against claims that product candidates or products we develop alone or with collaborators caused harm, we could incur substantial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merit or eventual outcome, liability claims may result in:</w:t>
      </w:r>
    </w:p>
    <w:p>
      <w:pPr>
        <w:spacing w:after="0" w:line="11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pursuing our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termination of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develop alone or with collaborators;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further develop or commercialize any products.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clinical development does not always fully characterize the safety and efficacy profile of a new medicine, and it is always possible that a drug or biologic,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such products. We could be adversely affected if we are subject to negative publicity associated with illness or other adverse effects resulting from patients’ use or misuse of such products or any similar products distributed by other companies.</w:t>
      </w:r>
    </w:p>
    <w:p>
      <w:pPr>
        <w:spacing w:after="0" w:line="18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will need to increase our insurance coverage if we or our collaborators successfully commercialize any products. Insurance coverage is increasingly expensive. We may not be able to maintain insurance coverage at a reasonable cost or in an amount adequate to satisfy any liabilities to which we may become subject.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Related to the Identification, Development and Commercialization of Our Therapeutic Product Candidates</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landscape that will apply to development of therapeutic product candidates by us or our collaborators is rigorous, complex, uncertain and subject to change, which could result in delays or termination of development of such product candidates or unexpected costs in obtaining regulatory approvals.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Regulatory requirements governing products created with genome editing technology or involving gene therapy treatment have changed frequently and will likely continue to change in the future. Approvals by one regulatory agency may not be indicative of what any other regulatory agency may require for approval, and there has historically been substantial, and sometimes uncoordinated, overlap in those responsible for regulation of gene therapy products, cell therapy products and other products created with genome editing technology. For example, in the United States, the FDA has established the Office of Therapeutic Products within its Center for Biologics Evaluation and Research (“CBER”) to consolidate the review of gene therapy and related products, and the Cellular, Tissues, and Gene Therapies Advisory Committee to advise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CBER on its review. Our product candidates will need to meet safety, purity, and potency standards applicable to any new biologic under the regulatory framework administered by the FDA.</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submission of an IND to the FDA, before initiation of a clinical trial in the United States, certain human clinical trials subject to the NIH Guidelines are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We are subject to significant regulatory oversight by the FDA, and in addition to the government regulators, the applicable IBC and IRB of each institution at which we or our collaborators conduct clinical trials of our product candidates, or a central IRB if appropriate, would need to review and approve the proposed clinical trial.</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Similar requirements apply in the EU. The European Medicines Agency (“EMA”) has a Committee for Advanced Therapies (“CAT”) that is responsible for assessing the quality, safety and efficacy of advanced therapy medicinal products (“ATMPs”). ATMPs include gene therapy medicine, somatic-cell therapy medicines and tissue-engineered medicines. The role of the CAT is to prepare a draft opinion on an application for marketing authorization for a gene therapy medicinal product candidate that is submitted to the EMA.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product candidates, but that remains uncertain at this point.</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clinical trial requirements of the FDA, the EMA and other foreign regulatory authorities and the criteria these regulators use to evaluate the safety and efficacy of a product candidate vary substantially according to the type, complexity, novelty and intended use and market of the potential products. The regulatory approval process for product candidates created with novel genome editing technology such as ours can be more lengthy, rigorous and expensive than the process for other better known or more extensively studied product candidates and technologies. Since we are developing novel treatments for diseases in which there is little clinical experience with new endpoints and methodologies, there is heightened risk that the FDA, the EMA or comparable regulatory bodies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spacing w:after="0" w:line="19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such as products developed through the application of a CRISPR/Cas9 technology, or adverse public perception of the field of genome editing, may cause the FDA, the EMA and other regulatory bodies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1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we advance product candidates alone or with collaborators, we will be required to consult with these regulatory and advisory groups and comply with all applicable guidelines, rules and regulations. If we fail to do so, we or our collaborators may be required to delay or terminate development of such product candidates. Delay or failure to obtain, or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unexpected costs in obtaining, the regulatory approval necessary to bring a product candidate to market could decrease our ability to generate sufficient product revenue to maintain our business.</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submit INDs to the FDA or CTAs to comparable foreign authorities to commence clinical trials on the timelines we expect, and even if we are able to, the FDA or comparable foreign authorities may not permit us to proceed.</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We plan to submit INDs and CTAs to enable us to conduct clinical trials for product candidates in the future, and we expect to file IND amendments to enable us to conduct clinical trials under existing INDs. We cannot be sure that submission of an IND, CTA, or IND amendment will result in us being allowed to proceed with clinical trials, or that, once begun, issues will not arise that could result in the suspension or termination of such clinical trials. The manufacturing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therapies for genetic and infectious diseases remains an emerging and evolving field. Accordingly, we expect CMC related topics, including product specifications, will be a focus of IND and CTA reviews, which may delay receipt of authorization to proceed under INDs and CTAs. Additionally, even if such regulatory authorities agree with the design and implementation of the clinical trials set forth in an IND or CTA, we cannot guarantee that such regulatory authorities will not change their requirements in the future. Similar risks may exist in foreign jurisdictions where we intend to conduct clinical trials.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and any collaborators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authorities is unpredictable, but typically takes many years following the commencement of clinical trials and depends upon numerous factors, including substantial discretion of the regulatory authorities and sufficient resources at the FDA or foreign regulatory authorities. In addition, approval policies, regulations or the type and amount of clinical data necessary to gain approval may change during the course of a product candidate’s clinical development and may vary among jurisdictions. To date, we have not submitted a BLA or other marketing authorization application to the FDA or similar drug approval submissions to comparable foreign regulatory authorities for any product candidate. We and any collaborators must complete additional preclinical or nonclinical studies and clinical trials to demonstrate the safety and efficacy of our product candidates in humans to the satisfaction of the regulatory authorities before we will be able to obtain these approvals.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or our collaborators’ clinical trials;</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or our collaborators’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product candidates may not be sufficient to support the submission of 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our manufacturing processes or facilities or those of third-party manufacturers with which we or our collaborators contract for clinical and commercial supplies;</w:t>
      </w:r>
    </w:p>
    <w:p>
      <w:pPr>
        <w:spacing w:after="0" w:line="53"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comparable foreign regulatory authorities or notified bodies may fail to approve or certify the companion diagnostics we may contemplate developing with collaborators; and</w:t>
      </w:r>
    </w:p>
    <w:p>
      <w:pPr>
        <w:spacing w:after="0" w:line="5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or our collaborators’ clinical data insufficient for approval.</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impose significant limitations in the form of narrow indications, warnings, or a REMS or similar risk management measures.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and, following the European Commission’s revision to the existing pharmaceutical legislation and the European Parliament and the Council of the EU adoption of their respective positions, a common position was agreed upon, however, the proposed revisions remain to be adopted. These revisions may have a significant impact on the biopharmaceutical industry in the long term.</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difficult to design and implement, expensive, time-consuming and involve an uncertain outcome, and the inability to successfully and timely conduct clinical trials and obtain regulatory approval for our product candidates would substantially harm our business.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Clinical testing is expensive and usually takes many years to complete, and its outcome is inherently uncertain. Failure can occur at any time during the clinical trial process, and product candidates in later stages of clinical trials may fail to show the desired safety and efficacy traits despite having progressed through preclinical studies and initial clinical trials. We do not know whether any of our planned or future clinical trials will need to be redesigned, recruit and enroll patients on time or be completed on schedule, or at all. Clinical trials have been and may in the future be delayed, suspended or terminated for a variety of reasons, including in connection with:</w:t>
      </w:r>
    </w:p>
    <w:p>
      <w:pPr>
        <w:spacing w:after="0" w:line="73" w:lineRule="exact"/>
        <w:rPr>
          <w:sz w:val="20"/>
          <w:szCs w:val="20"/>
          <w:color w:val="auto"/>
        </w:rPr>
      </w:pPr>
    </w:p>
    <w:p>
      <w:pPr>
        <w:ind w:left="5540" w:right="1300" w:hanging="5208"/>
        <w:spacing w:after="0" w:line="848"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regulatory authorities disagreeing as to the design or implementation of the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commence a trial;</w:t>
      </w:r>
    </w:p>
    <w:p>
      <w:pPr>
        <w:spacing w:after="0" w:line="11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 agreement on acceptable terms with prospective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or ethics committee approval or positive opinion at each site;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validating the companion diagnostic to be used in a clinical trial, if applicable;</w:t>
      </w:r>
    </w:p>
    <w:p>
      <w:pPr>
        <w:spacing w:after="0" w:line="11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quality of product candidates or other materials, including identification of lymphocyte donors meeting regulatory standards necessary for use in clinical trials, or delays in sufficiently developing, characterizing or controlling a manufacturing process suitable for clinical trials;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retaining enough suitable patients to participate in a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enough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trial sites or operations by applicable regulatory authorities, or the imposition of a clinical hold;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demonstrate the efficacy and benefits of a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discovering that product candidates have unforeseen safety issues, undesirable side effects or other unexpected characteristics;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untimely or unfavorable feedback from applicable regulatory authorities regarding the trial or requests from regulatory authorities to modify the design of a trial;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applicable regulatory requirements by us or third parties or changes in such regulations or administrative actions;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suspensions or terminations by IRBs of the institutions at which such trials are being conducted, by the Data Safety Monitoring Board for such trial or by the FDA or other foreign regulatory authorities due to a number of factors, including those described above;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unable or unwilling to satisfy their contractual obligations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and other market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priorities, greater than anticipated costs of completing a trial or our inability to continue funding the trial;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such as natural or man-made disasters, public health emergencies, such as natural catastrophic events.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also ultimately lead to the denial of regulatory approval of our product candidates. Additionally, we or our collaborators may experience unforeseen events during or resulting from clinical trials that could delay or prevent receipt of marketing approval for or commercialization of product candidates. For example, clinical trials of product candidates may produce negative, inconsistent or inconclusive results, and we may decide, or regulators may require us, to conduct additional clinical trials or abandon development programs. Regulators may also revise the requirements for approving the product candidates, or such requirements may not be as we anticipate. If we or our collaborators are required to conduct additional clinical trials or other testing of product candidates beyond those that we or our collaborators currently contemplate, if we or our collaborators are unable to successfully complete clinical trials or other testing of such product candidates, if the results of these trials or tests are not positive or are only modestly positive or if there are safety concerns, we may:</w:t>
      </w:r>
    </w:p>
    <w:p>
      <w:pPr>
        <w:spacing w:after="0" w:line="8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fail to obtain marketing approval for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we or our collaborators experience delays in the commencement or completion of our clinical trials, or if we or our collaborators terminate a clinical trial prior to completion, we may experience increased costs, have difficulty raising capital and/or be required to slow down the development and approval process timelines. Furthermore, the product candidates that are the subject of such trials may never receive regulatory approval, and their commercial prospects and our ability to generate product revenues from them could be impaired or not realized at all.</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 plans.</w:t>
      </w:r>
    </w:p>
    <w:p>
      <w:pPr>
        <w:spacing w:after="0" w:line="1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derived from the now-repealed EU Clinical Trials Directive (as implemented into UK law, through the Medicines for Human Use (Clinical Trials) Regulations 2004, as amended).</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April 28, 2025, the UK adopted an amendment to the UK clinical trials regulations intended to support a more streamlined and flexible regulation of clinical trials and remove unnecessary administrative burdens on trial sponsors, while protecting the interests of trial participants. It also intends to bring the UK regulatory framework for clinical trials, which is still based on the now-repealed EU Clinical Trials Directive, into closer alignment with the CTR. The amendment became applicable on April 28, 2026 following a one-year transition period.</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also be impacted.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product candidates that we or our collaborators may develop will be novel and may be complex and difficult to manufacture, and if we experience manufacturing problems, it could result in delays in development and commercialization of such product candidates or otherwise harm our business.</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product candidates involve or will involve novel genome editing technology and will require processing steps that are more complex than those required for most small molecule drugs, resulting in a relatively higher manufacturing cost. Moreover, unlike small molecules, the physical and chemical properties of biologics generally cannot be fully characterized. As a result, assays of the finished product may not be sufficient to ensure that such product will perform in the intended manner. Although we intend to employ multiple steps to control the manufacturing process, we may experience manufacturing issues with any of our product candidates that could cause production interruptions, including contamination, equipment or reagent failure, improper installation or operation of equipment, facility contamination, raw material shortages or contamination, natural disasters, disruption in utility services, human error, disruptions in the operations of our suppliers, inconsistency in cell growth and variability in product characteristics. We may encounter problems achieving adequate quantities and quality of clinical-grade materials that meet FDA, EMA or other comparable applicable standards or specifications with consistent and acceptable production yields and costs. Even minor deviations from normal manufacturing processes could result in reduced production yields, product defects and other supply disruptions. If microbial, viral or other contaminations are discovered in our product candidates or in the manufacturing facilities in which such product candidates are made, such manufacturing facilities may need to be closed for an extended period of time to investigate and remedy the contamination. Problems with the manufacturing process, even minor deviations from the normal process, could result in product defects or manufacturing failures that result in lot failures, delays in initiating or completing clinical trials, product recalls, product liability claims or insufficient inventory.</w:t>
      </w:r>
    </w:p>
    <w:p>
      <w:pPr>
        <w:spacing w:after="0" w:line="19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late-stage clinical trials towards approval and commercialization, we expect that various aspects of the development program, such as manufacturing methods, may be altered along the way in an effort to help optimize processes and results. Such changes carry the risk that they will not achieve the intended objectives, and any of these changes could cause our product candidates to perform differently and affect the results of future clinical trials or our reliance on results of trials that have previously been conducted using the product candidate in its previous form. If the manufacturing process is changed during the course of product development, we or our collaborators may be required to repeat some or all of the previously conducted trials or conduct additional bridging trials, which could increase our costs and delay or impede our ability to obtain marketing approval.</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expect our manufacturing strategy for one or more of our product candidates may involve the use of CMOs. The facilities used by us and our contract manufacturers to manufacture therapeutic product candidates must be evaluated for the manufacture of our product candidates by the FDA or foreign regulatory authorities pursuant to inspections that will be conducted after we submit a BLA to the FDA, or similar foreign applications to foreign regulatory authorities. While we work closely with our CMOs on the manufacturing processes for our product candidates, including quality audits, we do not control the manufacturing process of our contract manufacturers and are dependent on their compliance with current good manufacturing practices (“cGMP”) or similar foreign requirements for their manufacture of our product candidates. We may establish multiple manufacturing facilities as we expand our commercial footprint to multiple geographies, which will be costly and time consuming and may lead to regulatory delays. Even if we are successful, our manufacturing capabilities could be affected by cost-overruns, potential problems with scale-out, process reproducibility, stability issues, lot inconsistency, timely availability of reagents or raw materials, unexpected delays, equipment failures, labor shortages, natural disasters, utility failures, regulatory issues and other factors that could prevent us from realizing the intended benefits of our manufacturing strategy and have a material adverse effect on our business.</w:t>
      </w:r>
    </w:p>
    <w:p>
      <w:pPr>
        <w:spacing w:after="0" w:line="19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FDA, the EMA and other foreign regulatory authorities may require us to submit samples of any lot of any product that may receive approval together with the protocols showing the results of applicable tests at any time. Under some circumstances, the FDA, the EMA or other foreign regulatory authorities may require that we not distribute a lot until the relevant agency authorizes its release.</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Slight deviations in the manufacturing process, including those affecting quality attributes and stability, may result in unacceptable changes in the product that could result in lot failures or product recalls. Lot failures or product recalls could cause us or our collaborators to delay product launches or clinical trials, which could be costly to us and otherwise harm our business. Problems in our manufacturing process also could restrict our or our collaborators’ ability to meet market demand for products.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Any problems in our manufacturing process or facilities could make us a less attractive collaborator for potential partners, including larger pharmaceutical companies and academic research institutions, which could limit our access to additional attractive development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delays or difficulties in our or our collaborators’ ability to enroll patients in clinical trials could delay or prevent receipt of regulatory approvals.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or our collaborators may not be able to initiate or continue clinical trials on a timely basis or at all for any product candidates we or our collaborators identify or develop if we or our collaborators are unable to locate and enroll a sufficient number of eligible patients to participate in the trials as required by applicable regulations or as needed to provide appropriate statistical power for a given trial. Additionally, some of our competitors may have ongoing clinical trials for product candidates that would treat the same indications as one or more of our product candidates, and patients who would otherwise be eligible for our clinical trials may instead enroll in our competitors’ clinical trials.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also be affected by many factors, including:</w:t>
      </w:r>
    </w:p>
    <w:p>
      <w:pPr>
        <w:spacing w:after="0" w:line="11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and difficulty of diagnosing of the disease under investigation;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in recruiting and/or identifying eligible patients suffering from rare diseases being evaluated under our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subjects;</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 in question, including unforeseen requirements by the FDA or other regulatory authorities that we restrict one or more entry criteria for the study for safety reasons;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or therapies, or other clinical trials, for the disease or condition under investigation;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trial or testing, or of the application of genome editing to human indications;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genetic testing for potential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subject consent;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of the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such as natural or manmade disasters, public health emergencies may impact our operations, or other natural catastrophic events.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that some of our product candidates will focus on rare genetically defined diseases with limited patient pools from which to draw for enrollment in clinical trials. The eligibility criteria of our clinical trials will further limit the pool of available trial participants. In addition to the factors identified above, patient enrollment in any clinical trials we or our collaborators may conduct may be adversely impacted by any negative outcomes our competitors may experience, including adverse side effects, clinical data showing inadequate efficacy or failures to obtain regulatory approval.</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Furthermore, our or our collaborators’ ability to successfully initiate, enroll and conduct a clinical trial outside the United States is subject to numerous additional risks, including:</w:t>
      </w:r>
    </w:p>
    <w:p>
      <w:pPr>
        <w:spacing w:after="0" w:line="5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CROs and physicians;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standards for the conduct of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standards of care for patients with a particular disease;</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locate qualified local consultants, physicians and partners; and</w:t>
      </w:r>
    </w:p>
    <w:p>
      <w:pPr>
        <w:spacing w:after="0" w:line="11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pharmaceutical and biotechnology products and treatments.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Enrollment delays in clinical trials may result in increased development costs for any of our product candidates, which may cause the value of our company to decline and limit our ability to obtain additional financing. If we or our collaborators have difficulty enrolling a sufficient number of patients to conduct clinical trials as planned, we may need to delay, limit or terminate ongoing or planned clinical trials, any of which may have an adverse effect on our results of operations and prospects.</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early clinical trials of product candidates may not be predictive of results of later studies or trials. Our product candidates may not have favorable results in later clinical trials, if any, or receive regulatory approval.</w:t>
      </w:r>
    </w:p>
    <w:p>
      <w:pPr>
        <w:spacing w:after="0" w:line="15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Preclinical and clinical drug development is expensive and can take many years to complete, and its outcome is inherently uncertain. Failure can occur at any time during the preclinical study or clinical trial process. Despite promising preclinical or clinical results, any product candidate can unexpectedly fail at any stage of preclinical or clinical development. The historical failure rate for product candidates in our industry is high.</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results from preclinical studies or early clinical trials of a product candidate may not be predictive of the results from later preclinical studies or clinical trials,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Many companies in the biopharmaceutical and biotechnology industries have suffered significant setbacks at later stages of development after achieving positive results in early stages of development, and we may face similar setbacks. These setbacks have been caused by, among other things, preclinical findings made while clinical trials were underway or safety or efficacy observations made in clinical trials, including previously unreported adverse events. Moreover, non-clinical and clinical data are often susceptible to varying interpretations and analyses, and many companies that believed their product candidates performed satisfactorily in preclinical studies and clinical trials nonetheless failed to obtain regulatory approval.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technology and product candidates have been tested in a limited manner in animals and are only in the early stages of clinical trials in humans, and results from animal studies and our early-stage clinical trials may not be predictive of results of later clinical trials. Even if product candidates progress to clinical trials, these product candidates may fail to show the safety and efficacy in clinical development required to obtain regulatory approval, despite the observation of positive results in animal studies. Our or our collaborators’ failure to replicate positive results from early research programs and preclinical studies may prevent us from further developing and commercializing those or other product candidates, which would limit our potential to generate revenues from them and harm our business and prospects.</w:t>
      </w:r>
    </w:p>
    <w:p>
      <w:pPr>
        <w:spacing w:after="0" w:line="19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For the foregoing reasons, we cannot be certain that any ongoing or future preclinical studies or clinical trials will be successful. Any safety or efficacy concerns observed in any one of our preclinical studies or clinical trials in a targeted area could limit the prospects for regulatory approval of product candidates in that and other areas, which could have a material adverse effect on our business and prospects.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initial data from studies or trials that we announce or publish from time to time may change as more data become available and are subject to audit and verification procedures that could result in material changes in the final data.</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initial or “top-line” data from preclinical studies or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Initial or “top-line” data also remain subject to audit and verification procedures that may result in the final data being materially different from these initial data we previously published. As a result, interim, initial and “top-line” data should be viewed with caution until the final data are available.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Additionally, interim data from clinical trials that we may complete are subject to the risk that one or more of the clinical outcomes may materially change as patient enrollment continues and more patient data become available. Adverse differences between initial or interim data and final data could significantly harm our business prospects.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18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work as intended or cause undesirable side effects that could hinder or prevent receipt of regulatory approval or realization of commercial potential for them or our other product candidates and substantially harm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product candidates may be associated with off-target editing or other serious adverse events, undesirable side effects or unexpected characteristics, including large deletions and translocations or chromosomal abnormalities. Results of clinical trials could reveal severe or recurring side effects, toxicities or unexpected events, including death. Off-target cuts could lead to disruption of a gene or a genetic regulatory sequence at an unintended site in the DNA. In those instances where we also provide a segment of DNA, it is possible that following off-target cut events, such DNA could be integrated into the genome at an unintended site, potentially disrupting another important gene or genomic element. There may also be delayed adverse events following exposure to therapeutics made with genome editing technologies due to persistent biologic activity of the genetic material or other components of products used to carry the genetic material. In addition to serious adverse events or side effects caused by product candidates we develop alone or with collaborators, the administration process or related procedures may also cause undesirable side effects.</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Further, any side effects may not be appropriately recognized or managed by the treating medical staff. We or our collaborators expect to have to educate medical personnel using any product candidates we may develop to understand the side effect profiles for our clinical trials and upon any commercialization of such product candidates. Inadequate recognition or management of the potential side effects of such product candidates could result in patient injury or death.</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any such events occur, clinical trials or commercial distribution of any product candidates or products we develop alone or with collaborators could be suspended or terminated, and our business and reputation could suffer substantial harm. Treatment-related side effects could affect patient recruitment and the ability of enrolled patients to complete the trial or result in potential liability claims. Regulatory authorities could order us or our collaborators to cease further development of, deny approval of or require us to cease selling any product candidates or products for any or all targeted indications. If we or our collaborators elect, or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For information regarding our current clinical trials, please refer to Part I. Item 2 “Management’s Discussion and Analysis of Financial Condition and Results of Operations” of this Quarterly Report on Form 10-Q.</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Additionally, if we successfully develop a product candidate alone or with collaborators and it receives marketing approval, the FDA or foreign regulatory authorities could require us to adopt a REMS or similar risk management measures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similar risk management measures or engage in similar actions, such as patient education, certification of health care professionals or specific monitoring, if we or others later identify undesirable side effects caused by any product that we develop alone or with collaborators. Such identification could also have several additional significant negative consequences, such as:</w:t>
      </w:r>
    </w:p>
    <w:p>
      <w:pPr>
        <w:spacing w:after="0" w:line="81" w:lineRule="exact"/>
        <w:rPr>
          <w:sz w:val="20"/>
          <w:szCs w:val="20"/>
          <w:color w:val="auto"/>
        </w:rPr>
      </w:pPr>
    </w:p>
    <w:p>
      <w:pPr>
        <w:jc w:val="center"/>
        <w:ind w:left="5540" w:right="360" w:hanging="5208"/>
        <w:spacing w:after="0" w:line="845"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approvals of such product, or seek an injunction against its manufacture or distribution;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1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or conduct additional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decide to remove the product from the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be held liable for harm caused to patients;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or our collaborators from achieving or maintaining market acceptance of any potential product, or otherwise have a negative impact on our business.</w:t>
      </w:r>
    </w:p>
    <w:p>
      <w:pPr>
        <w:spacing w:after="0" w:line="15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healthcare laws and regulations relating to our business and could face substantial penalties if we are determined not to have fully complied with such laws, which would have an adverse impact on our business.</w:t>
      </w:r>
    </w:p>
    <w:p>
      <w:pPr>
        <w:spacing w:after="0" w:line="159"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Our business operations, as well as our current and anticipated future arrangements with investigators, healthcare professionals, consultants, third-party payors, customers and patients, expose or will expose us to broadly applicable foreign, federal, and state fraud and abuse and other healthcare laws and regulations. These laws constrain the business or financial arrangements and relationships through which we conduct our operations, including how we research, market, sell and distribute any potential products for which we may obtain marketing approval. Such laws include:</w:t>
      </w:r>
    </w:p>
    <w:p>
      <w:pPr>
        <w:spacing w:after="0" w:line="72" w:lineRule="exact"/>
        <w:rPr>
          <w:sz w:val="20"/>
          <w:szCs w:val="20"/>
          <w:color w:val="auto"/>
        </w:rPr>
      </w:pPr>
    </w:p>
    <w:p>
      <w:pPr>
        <w:ind w:left="660" w:right="20" w:hanging="328"/>
        <w:spacing w:after="0" w:line="25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w:t>
      </w:r>
    </w:p>
    <w:p>
      <w:pPr>
        <w:spacing w:after="0" w:line="73" w:lineRule="exact"/>
        <w:rPr>
          <w:rFonts w:ascii="Times New Roman" w:cs="Times New Roman" w:eastAsia="Times New Roman" w:hAnsi="Times New Roman"/>
          <w:sz w:val="18"/>
          <w:szCs w:val="18"/>
          <w:color w:val="auto"/>
        </w:rPr>
      </w:pPr>
    </w:p>
    <w:p>
      <w:pPr>
        <w:ind w:left="660" w:right="60" w:hanging="328"/>
        <w:spacing w:after="0" w:line="275"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U.S. federal civil and criminal false claims laws, including the civil False Claims Act, which can be enforced through civil whistleblower or </w:t>
      </w:r>
      <w:r>
        <w:rPr>
          <w:rFonts w:ascii="Times New Roman" w:cs="Times New Roman" w:eastAsia="Times New Roman" w:hAnsi="Times New Roman"/>
          <w:sz w:val="17"/>
          <w:szCs w:val="17"/>
          <w:i w:val="1"/>
          <w:iCs w:val="1"/>
          <w:color w:val="auto"/>
        </w:rPr>
        <w:t>qui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tam </w:t>
      </w:r>
      <w:r>
        <w:rPr>
          <w:rFonts w:ascii="Times New Roman" w:cs="Times New Roman" w:eastAsia="Times New Roman" w:hAnsi="Times New Roman"/>
          <w:sz w:val="17"/>
          <w:szCs w:val="17"/>
          <w:color w:val="auto"/>
        </w:rPr>
        <w:t>actions, and civil monetary penalties laws, prohibits, among other things, individuals and entities from knowingly presenting, or causing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 In addition, the government may assert that a claim including items or services resulting from a violation of the U.S. federal Anti-Kickback Statute constitutes a false or fraudulent claim for purposes of the civil False Claims Act;</w:t>
      </w:r>
    </w:p>
    <w:p>
      <w:pPr>
        <w:spacing w:after="0" w:line="62" w:lineRule="exact"/>
        <w:rPr>
          <w:rFonts w:ascii="Times New Roman" w:cs="Times New Roman" w:eastAsia="Times New Roman" w:hAnsi="Times New Roman"/>
          <w:sz w:val="17"/>
          <w:szCs w:val="17"/>
          <w:color w:val="auto"/>
        </w:rPr>
      </w:pPr>
    </w:p>
    <w:p>
      <w:pPr>
        <w:ind w:left="660" w:right="100" w:hanging="328"/>
        <w:spacing w:after="0" w:line="25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Health Insurance Portability and Accountability Act of 1996 (“HIPAA”), which imposes criminal and civil liability for, among other things, knowingly and willfully executing, or attempting to execute, a scheme to defraud any healthcare benefit program, including private third-party payors,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and Medicaid Services (“CMS”) information related to payments or other “transfers of value” made to physicians (defined to include doctors, dentists, optometrists, podiatrists and chiropractors), certain non-physician practitioners such as physician assistants and nurse practitioners, and teaching hospitals, and requires applicable manufacturers and group purchasing organizations to report annually to the CMS, ownership and investment interests held by the physicians described above and their immediate family members; and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80" w:hanging="328"/>
        <w:spacing w:after="0" w:line="254"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anti-corruption and false claims laws, which may apply to our business practices, including, but not limited to, research, distribution, sales and marketing arrangements and claims involving healthcare items or services reimbursed by non-governmental third-party payors, including private insurers, or by the patients themselves; state laws and foreign laws and regulations that require pharmaceutical and device companies to comply with the industry’s voluntary compliance guidelines and the relevant compliance guidance promulgated by the U.S. government or foreign governmental authorities, or otherwise restrict payments that may be made to healthcare providers and other potential referral sources; state and local laws and regulations and foreign laws and regulations that require manufacturers to report information related to payments and other transfers of value to physicians and other healthcare providers or marketing expenditures and pricing information; state and local laws and foreign laws and regulations which require the registration of pharmaceutical sales representatives.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substantial costs. It is possible that governmental authorities may conclude that our business practices, including our relationships with certain physicians, some of whom are compensated in the form of stock options for consulting services provided,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U.S. or foreign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adversely affect our ability to operate our business and our results of operations.</w:t>
      </w:r>
    </w:p>
    <w:p>
      <w:pPr>
        <w:spacing w:after="0" w:line="1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and the increasing use of social media, could adversely affect our business, results of operations, and financial condition.</w:t>
      </w:r>
    </w:p>
    <w:p>
      <w:pPr>
        <w:spacing w:after="0" w:line="15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can be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as amended by the Health Information Technology for Economic and Clinical Health Act of 2009 and their implementing regulations, imposes, among other things, certain standards relating to the privacy, security, transmission and breach reporting of individually identifiable health information on covered entities (defined as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Department of Health and Human Services (“HHS”), affected individuals and if the breach is large enough, the media. Most healthcare providers, including research institutions from which we obtain patient health information, are subject to privacy and security regulations promulgated under HIPAA.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HIPAA-covered healthcare provider or research institution that has not satisfied HIPAA’s requirements for disclosure of individually identifiable health information.</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which govern the privacy, processing, and protection of health-related and other personal information. Such laws and regulations are subject to interpretation by various courts and other governmental authorities, thus creating potentially complex compliance issues for us and our future customers and strategic partners. For example, California enacted the California Consumer Privacy Act of 2018, as amended by the California Privacy Rights Act (collectively, the CCPA), which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Similar laws have passed in a number of states,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Europe, we are subject to the European Union General Data Protection Regulation (“EU GDPR”) and to the United Kingdom General Data Protection Regulation and Data Protection Act 2018 (collectively, the “UK GDPR”) (the EU GDPR and UK GDPR together referred to as the “GDPR”). Companies that must comply with the GDPR face increased compliance obligations and risk, including more robust regulatory enforcement of data protection requirements, and potential fines for noncompliance of up to €20 million / £17.5 million or 4% of the annual global revenues of the noncompliant company, whichever is greater.</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our internal policies or other legal or contractual requirements, which may give rise to liability, lead to the loss of trade secrets or other intellectual property, or result in public exposure of personal information of our employees, clinical trial patients, customers and others. Our potential patient population may also be active on social media and use these platforms to comment on the effectiveness of, or adverse experiences with, our product candidates. Negative posts or comments about us or our product candidates on social media could seriously damage our reputation, brand image and goodwill.</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information technology system failures, cyber-attacks or deficiencies in our security, which could materially affect our results.</w:t>
      </w:r>
    </w:p>
    <w:p>
      <w:pPr>
        <w:spacing w:after="0" w:line="15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large amounts of confidential information, including intellectual property, proprietary business information, clinical trial data, and personal information (collectively, “Confidential Information”). It is critical that we do so in a secure manner to maintain the confidentiality, availability and integrity of such Confidential Information.</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information technology systems, as well as those of third parties with which we have relationships, are vulnerable to attack, interruption, and damage from computer viruses and malware (e.g., ransomware), malicious code, cyberattacks, hacking, phishing attacks and other social engineering schemes, denial or degradation of service attacks, natural and manmade disasters, terrorism, war and telecommunication and electrical failures, malfeasance by external or internal parties (e.g., employee theft or misuse, attacks by sophisticated nation-state and nation-state-supported actors), and human error. The aforementioned third parties with which we have relationships include service providers and vendors who provide to us a broad array of software and other technologies as well as products, services and functions (e.g., human resources, finance, communications, data transmission, risk, compliance) that enable us to conduct, monitor and/or protect our business, operations, systems and data assets.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Confidential Information. There can also be no assurance that our and our third-party service providers’, strategic partners’, contractors’, consultants’, CROs’ and collaborators’ cybersecurity risk management program and processes, including policies, controls or procedures, will be fully implemented, complied with or effective in protecting our systems, networks and Confidential Information. Furthermore, any integration of artificial intelligence in our or any third party’s operations, products or services is expected to pose new or unknown cybersecurity risks and challenges.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do not believe that we have experienced any material impact to our business strategy, results of operations, or financial condition resulting from a system failure, accident or security breach to date, if such an event were to occur and cause interruptions in our or our critical third parties’ operations, it could result in delays and/or material disruptions of our research and development programs, our operations and our financial results. For example, the loss of trial data from completed, ongoing or planned trials could result in delays in our development and regulatory approval efforts and significantly increase our costs to recover or reproduce the data. To the extent that any disruption or security breach were to result in a loss of or damage to data or applications, or inappropriate disclosure of personal, confidential or proprietary information, we could incur liability due to delays in the development of our product candidates and/or due to reputational harm, litigation, regulatory investigations and enforcement, fines and penalties, or increased costs of compliance and system remediation. Any losses, costs or liabilities may not be covered by, or may exceed the coverage limits of, any or all applicable insurance policies.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Any adverse impact to the availability, integrity or confidentiality of our or third-party systems or Confidential Information can result in legal claims or proceedings (such as class actions), regulatory investigations and enforcement actions, fines and penalties,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negative reputational impacts that cause us to lose existing or future customers, and/or significant incident response, system restoration or remediation and future compliance costs.</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technologies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We may also face increased cybersecurity risks due to our reliance on internet technology and the number of our and our service providers’ employees who work remotely, which may create additional opportunities for cybercriminals to exploit vulnerabilities. The White House, SEC and other regulators have also increased their focus on companies’ cybersecurity vulnerabilities and risks. There can be no assurance that our cybersecurity risk management program and processes, including our policies, controls or procedures, will be fully implemented, complied with or effective in protecting our systems and information.</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Federal, state and foreign legislators and regulators globally have enacted or proposed legal requirements regarding the collection, distribution, disclosure, use, processing, security and storage of personally identifiable information and other types of regulated data, including online information and data online. In the ordinary course of our business, we and third parties with which we have relationships will continue to collect and store sensitive data, including intellectual property, clinical trial data, proprietary business information, personal data and personally identifiable information of our clinical trial subjects and employees, in data centers and on networks. The secure processing, maintenance and transmission of this information is critical to our operations. Despite security measures that we and our critical third parties (e.g., collaborators) implement, our information technology systems, infrastructure and data may be vulnerable to attacks by hackers or internal bad actors, breaches due to human error, technical vulnerabilities, malfeasance or other disruptions. A number of proposed and enacted federal, state and international laws and regulations obligate companies to notify individuals and other parties of security breaches involving particular types of information, which could result from breaches experienced by us or by third parties, including collaborators, vendors, contractors or other organizations with which we have formed relationships that involve the handling or processing of such information.</w:t>
      </w:r>
    </w:p>
    <w:p>
      <w:pPr>
        <w:spacing w:after="0" w:line="19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our product candidates, but we may be unable to obtain such designations or to maintain the benefits associated with orphan drug designation, which may negatively impact our ability to develop or obtain regulatory approval for such product candidates and may reduce our revenue if we obtain such approval.</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obtained orphan designation for PBGENE-DMD for the treatment of DMD, and we may seek further orphan drug designation for some or all of our product candidates in specific orphan indications in which there is a medically plausible basis for the use of these products. 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 Even where we may seek orphan product designation for some or all of our other product candidates, we may never receive such designations.</w:t>
      </w:r>
    </w:p>
    <w:p>
      <w:pPr>
        <w:spacing w:after="0" w:line="19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or condition for which it has such designation, the product is entitled to orphan product exclusivity, which means that the FDA may not approve any other applications, including a BLA, to market the same biologic for the same approved indication or use within such disease or condition for seven years, except in limited circumstances such as a showing of clinical superiority to the product with orphan product exclusivity with respect to the relevant indication or use or if FDA finds that the holder of the orphan drug exclusivity has not shown that it can ensure the availability of sufficient quantities of the orphan drug to meet the needs relating to the approved indication or use of patients with the disease or condition for which the drug was designated. Even if we or our collaborators or licensees obtain orphan drug designation for a product candidate, we or they may not be the first to obtain marketing approval for any particular orphan indication due to the uncertainties associated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with developing pharmaceutical products. Exclusive marketing rights in the United States may be limited if we or our collaborators or licensees seek approval for a disease or condition broader than the orphan designated disease or condition and may be lost if the FDA later determines that the request for designation was materially defective or if the manufacturer is unable to assure sufficient quantities of the product to meet the needs relating to the approved indication or use of patients with the rare disease or condition. Further, even if a product obtains orphan drug exclusivity, that exclusivity may not effectively protect the product from competition because different drugs can be approved for the same indication or use within the same rare disease condition. Even after an orphan drug is approved, the FDA can subsequently approve the same drug for the same indication or use within the relevant disease or condition if the FDA concludes that the later drug is safer, more effective, or makes a major contribution to patient care.</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Similarly, in the EU, a medicinal product may receive orphan designation from the European Commission after receiving the opinion of the EMA’s Committee for Orphan Medicinal Products, under Article 3 of Regulation (EC) 141/2000. This applies to products (1) that are intended for a life-threatening or chronically debilitating condition; (2) either (a) such condition affects not more than five in 10,000 persons in the EU when the application is made, or (b) the product, without the benefits derived from orphan status, would be unlikely to generate sufficient returns in the EU to justify the necessary investment, and (3) there exists no satisfactory method of diagnosis, prevention or treatment of such condition authorized for marketing in the EU or, if such a method exists, the product will be of significant benefit to those affected by the condition. In the EU, orphan designation entitles a party to financial incentives such as reduction of fees, fee waivers, specific regulatory assistance and scientific advice, and access to the centralized marketing authorization procedure. Upon grant of a marketing authorization (“MA”) and assuming the requirements for orphan designation are also met at the time the MA is granted, orphan medicinal products are entitled to 10 years of market exclusivity for the approved therapeutic indication, during which time no similar medicinal product for the same indication may be placed on the market. An orphan product can also obtain an additional two years of market exclusivity in the EU for complying with an agreed Pediatric Investigation Plan (“PIP”). However, the 10-year market exclusivity may be reduced to six years if, at the end of the fifth year, it is established that the product no longer meets the criteria for orphan designation, for example, if the product is judged as sufficiently profitable not to justify maintenance of market exclusivity, or when the prevalence of the condition has increased above the orphan designation threshold. Additionally, MA may be granted to a similar product for the same indication at any time if:</w:t>
      </w:r>
    </w:p>
    <w:p>
      <w:pPr>
        <w:spacing w:after="0" w:line="89"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is safer, more effective or otherwise clinically superior;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applicant consents to a second orphan medicinal product application;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applicant cannot supply enough orphan medicinal product.</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Post-Brexit, the UK has retained the EU Regulation which governs the designation of medicinal products as orphan drugs and which establishes incentives thereto (Regulation (EC) No. 141/2000) as part of UK law by virtue of the European Union (Withdrawal) Act 2018. However, any future changes to the legal requirements could lead to greater regulatory complexity and increased costs to our business.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we or our collaborators or licensees do not receive or maintain orphan drug designation for product candidates for which we seek such designation, it could limit our ability to realize revenues from such product candidates.</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obtained a rare pediatric disease designation for PBGENE-DMD, however, there is no guarantee that FDA approval of PBGENE-DMD will result in issuance of a priority review voucher</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obtained a rare pediatric disease designation for PBGENE-DMD for the treatment of DMD, however, there is no guarantee that we will be able to obtain a priority review voucher, even if PBGENE-DMD is approved by the FDA for this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indication. For example, the FDA may determine that a BLA, even if ultimately approved, does not meet the eligibility criteria for a priority review voucher, including for the following reasons:</w:t>
      </w:r>
    </w:p>
    <w:p>
      <w:pPr>
        <w:spacing w:after="0" w:line="16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no longer meets the definition of a rare pediatric disease;</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contains an active ingredient (including any ester or salt of the active ingredient) that has been previously approved in another marketing application;</w:t>
      </w:r>
    </w:p>
    <w:p>
      <w:pPr>
        <w:spacing w:after="0" w:line="5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does not rely on clinical data derived from studies examining a pediatric population and dosages of the drug intended for that population;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is approved for a different adult indication than the rare pediatric disease for which the product is designated</w:t>
      </w:r>
    </w:p>
    <w:p>
      <w:pPr>
        <w:spacing w:after="0" w:line="11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of February 3, 2026, the Pediatric Disease Priority Review Voucher program was reauthorized in the Consolidated Appropriations Act of 2026. Moreover, Congress included a sunset provision in the statute authorizing the rare pediatric disease priority review voucher program. Under the current statutory sunset provisions, provided the eligibility criteria are otherwise met, FDA may only award a voucher for an approved rare pediatric disease product application if the sponsor has rare pediatric disease designation for the product candidate and that designation is granted by September 30, 2029.</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from the FDA, even if granted for any of our product candidates, may not lead to a faster development or regulatory review or approval process, and does not increase the likelihood that our product candidates will receive regulatory approval.</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April 2025, the FDA granted Fast Track designation to PBGENE-HBV for treatment of chronic hepatitis B infection in adults and in February 2026, the FDA granted Fast Track designation to PBGENE-DMD for the treatment of patients with DMD due to mutations in exons 45 to 55 of the DMD. Depending on the data from our preclinical and clinical studies, we may decide to seek such designation for some or all of our other product candidates. The Fast Track program is intended to expedite or facilitate the process for reviewing product candidates that meet certain criteria. The FDA, however, has broad discretion whether or not to grant this designation. Even if we believe a particular product candidate is eligible for this designation, we cannot assure you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PBGENE-HBV or any other product candidate that may be granted Fast Track designation will receive regulatory approval in the U.S. Many product candidates that have received Fast Track Designation have ultimately failed to obtain approval.</w:t>
      </w:r>
    </w:p>
    <w:p>
      <w:pPr>
        <w:spacing w:after="0" w:line="190"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the product candidates that we or our collaborators may develop receive regulatory approval in the United States or another jurisdiction, they may never receive approval in other jurisdictions, which would limit market opportunities for such product candidate and adversely affect our business.</w:t>
      </w:r>
    </w:p>
    <w:p>
      <w:pPr>
        <w:spacing w:after="0" w:line="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Approval of a product candidate in the United States by the FDA or by the requisite regulatory agencies in any other jurisdiction does not ensure approval of such product candidate by regulatory authorities in other countries or jurisdictions. The approval process varies among countries and may limit our or our collaborators’ ability to develop, manufacture, promote and sell product candidates internationally. Failure to obtain marketing approval in international jurisdictions would prevent the product candidates from being marketed outside of the jurisdictions in which regulatory approvals have been received. In order to market and sell product candidates in the EU and many other jurisdictions, we and our collaborators must obtain separate marketing approvals and comply with numerous and varying regulatory requirements. The approval procedure varies among countries and may involve additional preclinical studies or clinical trials both before and after approval. In many countries, any product candidate for human use must be approved for reimbursement before it can be approved for sale in that country. In some cases, the intended price for such product is also subject to approval. Further, while regulatory approval of a product candidate in one country does not ensure approval in any other country, a failure or delay in obtaining regulatory approval in one country may have a negative effect on the regulatory approval process in others. If we or our collaborators fail to comply with the regulatory requirements in international markets or to obtain all required marketing approvals, the target market for a particular potential product will be reduced, which would limit our ability to realize the full market potential for the product and adversely affect our business.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any product candidates we or our collaborators develop and may adversely affect the prices for such product candidates.</w:t>
      </w:r>
    </w:p>
    <w:p>
      <w:pPr>
        <w:spacing w:after="0" w:line="15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that obtain marketing approval.</w:t>
      </w:r>
    </w:p>
    <w:p>
      <w:pPr>
        <w:spacing w:after="0" w:line="180"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collectively the ACA, was enacted in the United States. Among the provisions of the Affordable Care Act of importance to our product candidates, the ACA established an annual, nondeductible fee on any entity that manufactures or imports specified branded prescription drugs and biologic agents, increased the statutory minimum rebates a manufacturer must pay under the Medicaid Drug Rebate Program, extended manufacturers’ Medicaid rebate liability to covered drugs dispensed to individuals who are enrolled in Medicaid managed care organizations, expanded eligibility criteria for Medicaid programs, expanded the entities eligible for discounts under the Public Health program, addressed a new methodology by which rebates owed by manufacturers under the Medicaid Drug Rebate Program are calculated for drugs that are inhaled, infused, instilled, implanted or injected, and created a licensure framework for follow-on biologic products.</w:t>
      </w:r>
    </w:p>
    <w:p>
      <w:pPr>
        <w:spacing w:after="0" w:line="19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Since its enactment, there have been judicial, administrative, executive, and legislative challenges to certain aspects of the ACA, and the most recent judicial challenge to the ACA brought before the Supreme Court was dismissed in June 2021 resulting in the ACA remaining in effect in its current form.</w:t>
      </w:r>
    </w:p>
    <w:p>
      <w:pPr>
        <w:spacing w:after="0" w:line="1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 the American Rescue Plan Act of 2021, which, effective January 1, 2024, eliminated the statutory Medicaid drug rebate cap, which was previously set at 100% of a drug’s average manufacturer price.</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Further, there has been heightened governmental scrutiny recently over pharmaceutical pricing practices in light of the rising cost of prescription drugs and biologics. Such scrutiny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rebates and price negotiation for pharmaceutical products.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(which began in 2025). The IRA permits the Secretary of the HHS to implement many of these provisions through guidance, as opposed to regulation, for the initial years. HHS has issued and will continue to issue guidance implementing the IRA. CMS has published the negotiated prices for the initial 10 drugs, which went into effect in 2026, and the subsequent 15 drugs, which will first be effective in 2027, although the Medicare drug price negotiation program is currently subject to legal challenges. For that and other reasons, it is currently unclear how the IRA will be effectuated. At the state level, legislatures have increasingly passed legislation and implemented regulations designed to control pharmaceutical product and medical device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medical devices to purchase and which suppliers will be included in their prescription drug and other healthcare programs.</w:t>
      </w:r>
    </w:p>
    <w:p>
      <w:pPr>
        <w:spacing w:after="0" w:line="19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current Presidential administration is pursuing a two-fold strategy to reduce drug costs in the U.S. While it is unclear whether and how such policies will be implemented, the proposed policies are likely to have a negative impact on the pharmaceutical industry and on our ability to receive adequate revenues for any products we commercialize and any additional product candidates we develop, if approved. As part of this strategy, the current Presidential administration has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proposed imposing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In addition, the current Presidential administration is pursuing traditional regulatory pathways to impose drug pricing policies, although proposed regulations have not yet been published.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18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more rigorous coverage criteria, new payment methodologies and in additional downward pressure on the price that we or our collaborators may receive for any approved or cleared product. Any reduction in reimbursement from Medicare or other government programs may result in a similar reduction in payments from private payors. We cannot predict the likelihood, nature or extent of government regulation that may arise from future legislation or administrative action, either in the United States or abroad. If we or our collaborators are slow or unable to adapt to new requirements or policies, or if we or our collaborators are not able to maintain regulatory compliance, any of our product candidates may lose any regulatory approval that may have been obtained and we may not achieve or sustain profitability, which would adversely affect our business.</w:t>
      </w:r>
    </w:p>
    <w:p>
      <w:pPr>
        <w:spacing w:after="0" w:line="18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any products that we develop alone or with collaborators, such products will remain subject to ongoing regulatory requirements, which may result in significant additional expense.</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Even if products we develop alone or with collaborators receive regulatory approval, they will be subject to ongoing regulatory requirements for manufacturing, labeling, packaging, distribution, storage, advertising, promotion, sampling, record-keeping and submission of safety and other post-market information, among other things. Any regulatory approvals received for such products may also be subject to limitations on the approved indicated uses for which they may be marketed or to the conditions of approval, or contain requirements for potentially costly post-marketing testing and surveillance studies. For example, the holder of an approved BLA in the United States is obligated to monitor and report adverse events and any failure of a product to meet the specifications in the BLA. FDA guidance advises that patients treated with some types of gene therapy undergo follow-up observations for potential adverse events for as long as 15 years. Similarly, in the EU, pharmacovigilance obligations are applicable to all medicinal products. In addition to those, holders of a marketing authorization for gene or cell therapy products must detail, in their application, the measures they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envisage to ensure follow-up of the efficacy and safety of these products. In cases of particular concern, marketing authorization holders for gene or cell therapy products in the EU may be required to design a risk management system with a view to identifying, preventing or minimizing risks and may be obliged to carry out post-marketing studies. In the United States, the holder of an approved BLA must also submit new or supplemental applications and obtain FDA approval for certain changes to the approved product, product labeling or manufacturing process. Similar provisions apply in the EU.</w:t>
      </w:r>
    </w:p>
    <w:p>
      <w:pPr>
        <w:spacing w:after="0" w:line="3"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Advertising and promotional materials must comply with FDA rules and are subject to FDA review, in addition to other potentially applicable federal and state laws. Similarly, in the EU any promotion of medicinal products is highly regulated and, depending on the specific jurisdiction involved, may require prior vetting by the competent national regulatory authority.</w:t>
      </w:r>
    </w:p>
    <w:p>
      <w:pPr>
        <w:spacing w:after="0" w:line="1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GMP requirements and adherence to commitments made in the BLA or foreign marketing application. If we, our collaborators or a regulatory agency discovers previously unknown problems with a product such as adverse events of unanticipated severity or frequency or problems with the facility where the product is manufactured or disagrees with the promotion, marketing or labeling of that product, a regulatory agency may impose restrictions relative to that product, the manufacturing facility or us or our collaborators, including requiring recall or withdrawal of the product from the market or suspension of manufacturing.</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Moreover, if any of our product candidates are approved, our product labeling, advertising, promotion and distribution will be subject to regulatory requirements and continuing regulatory review. The FDA and foreign regulatory authorities strictly regulate the promotional claims that may be made about drug products. In particular, a product may not be promoted for uses that are not approved by the FDA and foreign regulatory authorities as reflected in the product’s approved labeling.</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we or our collaborators fail to comply with applicable regulatory requirements following approval of any potential products we may develop, authorities may:</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enforcement letter or a warning letter asserting a violation of the law;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impose civil and criminal penalties, and impose monetary 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terminate any ongoing clinical trials or implement 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comparable foreign marketing application (or any supplements thereto) submitted by us or our collaborators;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labeling, marketing, distribution, use or manufacturing of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otherwise require the withdrawal or recall of products from the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that we or our collaborators submit;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or our collaborators to enter into government contracts.</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or our collaborators’ ability to commercialize products and our ability to generate revenues.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FDA’s policies, and policies of foreign regulatory agencies, may change, and additional regulations may be enacted that could prevent, limit or delay regulatory approval of product candidates. We cannot predict the likelihood, nature or extent of government regulation that may arise from future legislation or administrative or executive action, either in the United States or abroad. If we or our collaborators are slow or unable to adapt to changes in existing requirements or the adoption of new requirements, or if we or our collaborators are unable to maintain regulatory compliance, we or they may be subject to enforcement action and we may not achieve or sustain profitability.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15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as our product candidates would be, if approved. In particular, a product may not be promoted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and avoid off-label promotion of our product candidates, if approved, we could become subject to significant liability, which would materially adversely affect our business and financial condition.</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staffing limitations, or policy changes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biologics or modifications to approved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If a prolonged government shutdown occurs, or if policy changes, funding shortages or staffing limitations prevent the FDA or other regulatory authorities from conducting their regular inspections, reviews, or other regulatory activities, such events could significantly impact the ability of the FDA or such other regulatory authorities to timely review and process our regulatory submissions, which could seriously harm our business.</w:t>
      </w:r>
    </w:p>
    <w:p>
      <w:pPr>
        <w:spacing w:after="0" w:line="19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product we develop alone or with collaborators receives marketing approval, such product may fail to achieve the degree of market acceptance by physicians, patients, healthcare payors and others in the medical community necessary for commercial success.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commercial success of any potential therapeutic products we develop alone or with collaborators will depend upon their degree of market acceptance by physicians, patients, third-party payors and others in the medical community. Even if any potential therapeutic products we develop alone or with collaborators receive marketing approval, they may nonetheless fail to gain sufficient market acceptance by physicians, patients, healthcare payors and others in the medical community. The degree of market acceptance of any product we develop alone or with collaborators, if approved for commercial sale, will depend on a number of factors, including:</w:t>
      </w:r>
    </w:p>
    <w:p>
      <w:pPr>
        <w:spacing w:after="0" w:line="7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as demonstrated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by FDA or other regulatory authorities;</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attitudes regarding genome editing technologies;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any collaborators’ ability to educate the medical community about the safety and effectiveness of the product;</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 as well as their willingness to accept a therapeutic intervention that involves the editing of the patient’s genome;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compared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such product together with other treatments or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introduction of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such product or competing products and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such product for sale at a competitive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and adequate reimbursement.</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any products we develop alone or with collaborators do not achieve an adequate level of acceptance, we may not generate significant product revenues, and we may not become profitable.</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sell and market any products we develop alone or with collaborators, the commercialization of such products may not be successful if and when they are approved.</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do not have a sales or marketing infrastructure and, as a company, have no experience in the sale, marketing or distribution of biopharmaceutical or other commercial products. To achieve commercial success for any approved products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certain product candidates if and when they are approved.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restricted or closed distribution channels may make it difficult to distribute products to segments of the patient population, and the lack of complementary medicines to be offered by sales personnel may put us at a competitive disadvantage relative to companies with more extensive product lines.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Recruiting and training a sales force or reimbursement specialists are expensive and time consuming and could delay any product launch. If the commercial launch of a product for which we recruit a sales force and establish marketing and other commercialization capabilities is delayed or does not occur for any reason, we would have prematurely or unnecessarily incurred these commercialization expenses, and our investment would be lost if we cannot retain or reposition our commercialization personnel. Factors that may inhibit our efforts to commercialize products on our own include</w:t>
      </w:r>
    </w:p>
    <w:p>
      <w:pPr>
        <w:spacing w:after="0" w:line="7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retain and effectively manage adequate numbers of effective sales, marketing, customer service and other support personnel, including for reimbursement or medical affairs;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educate adequate numbers of physicians on the benefits of our future medicines;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choose to enter into arrangements with third parties to perform sales, marketing, commercial support or distribution services, we may not be successful in entering into such arrangements or may be unable to do so on terms that are favorable to us. Entering into such third-party arrangements may subject us to a variety of risks, including:</w:t>
      </w:r>
    </w:p>
    <w:p>
      <w:pPr>
        <w:spacing w:after="0" w:line="68"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revenues or profitability to us being lower than if we were to market and sell any products we or our collaborators may develop ourselves;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exercise direct control over sales and marketing activities and personnel;</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4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third parties to devote necessary resources and attention to, or other inability to, sell and market any products we or our collaborators may develop;</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disputes with third parties concerning sales and marketing expenses, calculation of royalties and sales and marketing strategies;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sales and marketing.</w:t>
      </w:r>
    </w:p>
    <w:p>
      <w:pPr>
        <w:spacing w:after="0" w:line="11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If we do not establish effective commercialization capabilities, either on our own or in collaboration with third parties, we will not be successful in commercializing any of our product candidates that may receive approval.</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products we develop alone or with collaborators are smaller than our estimates, or if we are unable to successfully identify enough patients, our revenues may be adversely affected.</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focus some of our research and product development on treatments for rare genetic diseases. Our and our collaborators’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products that we may develop alone or with collaborators, or may become increasingly difficult to identify or gain access to, any of which would decrease our ability to realize revenue from any such products for such diseases.</w:t>
      </w:r>
    </w:p>
    <w:p>
      <w:pPr>
        <w:spacing w:after="0" w:line="183"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potential products will depend in part on the extent to which governmental authorities and health insurers establish coverage, and the adequacy of reimbursement levels and pricing policies, and failure to obtain or maintain coverage and adequate reimbursement for any potential products that may receive approval, could limit marketability of those products and decrease our ability to generate revenue.</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availability of coverage and adequacy of reimbursement by government healthcare programs such as Medicare and Medicaid, private health insurers and other third-party payors is essential for most patients to be able to afford prescription medications such as the potential therapeutic products we develop alone or with collaborators. The ability to achieve acceptable levels of coverage and reimbursement for any potential products that may be approved by governmental authorities will have an effect on our and our collaborators’ ability to successfully commercialize such products. Even if products we develop alone or with collaborators obtain coverage by a third-party payor, the resulting reimbursement payment rates may not be adequate or may require co-payments that patients find unacceptably high. If coverage and reimbursement in the United States, the EU or elsewhere is not available for any products we develop alone or with collaborators that may be approved, or any reimbursement that may become available is decreased or eliminated in the future, we and our collaborators may be unable to commercialize such products.</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drugs and biologics. In the United States, third-party payors, including private and governmental payors, such as the Medicare and Medicaid programs, play an important role in determining the extent to which new drugs and biologics will be covered. In August 2019, the CMS published its decision to cover autologous treatment for cancer with T-cells expressing at least one CAR when administered at healthcare facilities enrolled in the FDA risk evaluation and mitigation strategies and used for an FDA-approved indication or for other uses when the product has been FDA-approved and the use is supported in one or more CMS-approved compendia.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any product that we develop alone or with collaborators.</w:t>
      </w:r>
    </w:p>
    <w:p>
      <w:pPr>
        <w:spacing w:after="0" w:line="18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or our collaborators to provide scientific and clinical support for the use of any potential products that may be approved to each payor separately, with no assurance that coverage and adequate reimbursement will be applied consistently or obtained in the first instance. Furthermore, rules and regulations regarding reimbursement change frequently, in some cases on short notice. Obtaining coverage and adequate reimbursement for products we develop alone or with collaborators may be particularly difficult because of the higher prices often associated with drugs administered under the supervision of a physician. In certain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instances, payors may not separately reimburse for the product itself, but only for the treatments or procedures in which such product is used. A decision by a third-party payor not to cover or separately reimburse for products that we develop alone or with collaborators or procedures using such products, could reduce physician utilization of any such products that may receive approval.</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Third-party payors are increasingly challenging prices charged for pharmaceutical products and services, and many third-party payors may refuse to provide coverage and reimbursement for particular drugs or biologics when an equivalent generic drug, biosimilar or a less expensive therapy is available. If approved, it is possible that a third-party payor may consider any products that we develop alone or with collaborators as substitutable and only offer to reimburse patients for the less expensive product. Pricing of existing third-party therapeutics may limit the amount we will be able to charge for any products that may receive approval even if we or our collaborators show improved efficacy or improved convenience of administration such products. These payors may deny or revoke the reimbursement status of a given product or establish prices for new or existing marketed products at levels that are too low to enable us to realize an appropriate return on our investment in the product. If reimbursement is not available or is available only at limited levels, we or our collaborators may not be able to successfully commercialize any of the products that we develop, even if approved, and we may not be able to obtain a satisfactory financial return on them. 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any products we develop alone or with collaborators that may receive approval. We expect to experience pricing pressures in connection with the sale of any products that may receive approval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9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elsewhere have and will continue to put pressure on the pricing and usage of any products we develop alone or with collaborators that may receive approval. In many countries, the prices of medical products are subject to varying price control mechanisms as part of national health systems. Other countries allow companies to fix their own prices for medical products, but monitor and control company profits. Additional international price controls or other changes in pricing regulation could restrict the amount that we or our collaborators are able to charge for products that we develop that may receive approval. Accordingly, in markets outside the United States, the reimbursement for such products may be reduced compared with the United States and may be insufficient to generate commercially reasonable revenue and profits.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 products may face competition sooner than anticipated.</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are successful in achieving regulatory approval to commercialize any biologic product candidate we develop alone or with collaborators, it may face competition from biosimilar products. In the United States, our product candidates are regulated by the FDA as biologic products subject to approval under the BLA pathway. The Biologics Price Competition and Innovation Act of 2009 (the “BPCIA”) created an abbreviated pathway for the approval of biosimilar and interchangeable biologic products following the approval of an original BLA.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may not be submitted until four years following the date that the reference product was first licensed by the FDA. In addition, the approval of a biosimilar product may not be made effective by the FDA until 12 years after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9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We believe that any of our product candidates that are approved as biological products under a BLA should qualify for the 12-year period of exclusivity. However, there is a risk that this exclusivity could be shortened due to congressional action or otherwise, or that the FDA will not consider such product candidates to be reference products for competing products, potentially creating the opportunity for generic competition sooner than anticipated. If competitors are able to obtain marketing approval for biosimilars referencing any products that we develop alone or with collaborators that may be approved, such products may become subject to competition from such biosimilars, with the attendant competitive pressure and potential adverse consequences.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Jurisdictions in addition to the U.S. have established abbreviated pathways for regulatory approval of biological products that are biosimilar to earlier approved reference products. For example, the EU has had an established regulatory pathway for biosimilars since 2006. For such products, the results of appropriate preclinical or clinical trials must be provided, and guidelines from the EMA detail the type and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 Structure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the needs of our business, which could disrupt our operations.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September 30, 2026, we had 69 full-time employees. Our future financial performance, ability to develop and commercialize product candidates alone or with collaborators and ability to compete effectively will depend in part on our ability to effectively manage the then applicable needs of our business. We may have difficulty identifying, hiring and integrating new personnel. Many of the biotechnology companies that we compete against for qualified personnel and consultants have greater financial and other resources (including the ability to offer greater cash and equity incentive compensation), different risk profiles and a longer history than we do. If we are unable to continue to attract and retain high-quality personnel and consultants, the rate and success at which we can identify and develop product candidates, enter into collaborative arrangements and otherwise operate our business will be limited.</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 may need to divert a disproportionate amount of its attention away from our day-to-day activities and devote a substantial amount of time to managing our personnel needs. Due to our limited financial resources and the limited experience of our management team in managing a company with anticipated growth, we may not be able to effectively manage the expected demands of our operations or recruit and train additional qualified personnel. Moreover, addressing our personnel needs may lead to significant costs and may divert our management and business development resources from other projects, such as the development of product candidates. If we are not able to effectively manage our operations, it may result in weaknesses in our infrastructure, increase our expenses more than expected, or give rise to operational mistakes, loss of business opportunities, loss of employees and reduced productivity. Our future financial performance, ability to successfully commercialize any of our product candidates and our ability to compete effectively will depend, in part, on our ability to effectively manage any future growth and then applicable needs.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transactions that could disrupt our business, cause dilution to our stockholders or reduce our financial resources.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future, we may enter into transactions to acquire or in-license rights to product candidates, products or technologies or that involve the acquisition of or investment in other businesses. If we do identify suitable candidates, we may not be able to enter into such transactions on favorable terms, or at all. Any such acquisitions, investments or in-licenses may not strengthen our competitive position, and these transactions may be viewed negatively by customers or investors. We may decide to incur debt in connection with an acquisition, investment or in-license, which may negatively impact our financial condition and restrict our operations, or issue our common stock or other equity securities to the stockholders of the acquired company, which would reduce the percentage ownership of our existing stockholders. In addition, we are exposed to risks related to our investments, and we may realize losses in the fair value of our investments or a complete loss of our investments, which would have a negative effect on our financial condition. We could incur losses resulting from undiscovered liabilities of the acquired business that are not covered by the indemnification we may obtain from the sellers of the acquired business. In addition, we may not be able to successfully integrate the acquired personnel, technologies and operations into our existing business in an effective, timely and non-disruptive manner. Such transactions may also divert management attention from day-to-day responsibilities, increase our expenses and reduce our cash available for operations and other uses. We cannot predict the number, timing or size of future acquisitions, investments or in-licenses or the effect that they might have on our operating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key executives, as well as attracting, retaining and motivating qualified personnel.</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are highly dependent on the research and development experience, technical skills, leadership and continued service of certain members of our management and scientific teams. Although we have formal employment agreements with our executive officers, these agreements do not prevent them from terminating their employment with us at any time. The loss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services of any of these persons could impede the achievement of our research, development and commercialization objectives.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if we retain commercialization responsibility for any product candidate we develop alone or with collaborators, sales and marketing personnel will also be critical to our success. We may not be able to attract new or successor personnel on acceptable terms or at all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strategies. Our consultants and advisors may be employed by employers other than us and may have commitments under consulting or advisory contracts with other entities that may limit their availability to us. The inability to recruit, integrate, motivate and retain additional skilled and qualified personnel, or the loss of services of certain executives, key employees, consultants or advisors, may impede the progress of our research, development and commercialization objectives and have a material adverse effect on our business.</w:t>
      </w:r>
    </w:p>
    <w:p>
      <w:pPr>
        <w:spacing w:after="0" w:line="18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increased costs as a result of operating as a public company, and our management will be required to devote substantial time to maintaining compliance initiatives and corporate governance practices, including establishing and maintaining proper and effective internal control over financial reporting.</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We are subject to the Securities Exchange Act of 1934, as amended (the “Exchange Act”), including the reporting requirements thereunder, the Sarbanes-Oxley Act of 2002, the Dodd-Frank Wall Street Reform and Consumer Protection Act, the listing requirements of Nasdaq and other applicable securities rules and regulations, including requirements related to the establishment and maintenance of effective disclosure and financial controls and corporate governance practices. Our management and other personnel will need to continue to devote a substantial amount of time to these compliance initiatives. Moreover, these rules and regulations have increased our legal and financial compliance costs, making some activities more difficult, time consuming or costly, and increasing demand on our systems and resources.</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(“Section 404”) we are required to furnish a report by our management on our internal control over financial reporting. However, while we remain a non-accelerated filer within the meaning of the Exchange Act, we will not be required to include an attestation report on internal control over financial reporting issued by our independent registered public accounting firm. If we fail to implement the requirements of Section 404 in the required timeframe, we may be subject to sanctions or investigations by regulatory authorities, including the SEC and Nasdaq. Furthermore, if we are unable to conclude that our internal control over financial reporting is effective, our investors may lose confidence in the accuracy and completeness of our financial reports, the market price of our common stock could decline, and we could be subject to sanctions or investigations by regulatory authorities. Failure to implement or maintain an effective internal control system could also restrict our future access to the capital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If we obtain marketing approval for any product candidates that we or our collaborators may develop, we intend to acquire insurance coverage to include the sale of commercial products, but we may be unable to obtain such insurance on commercially reasonable terms or in adequate amounts. We do not carry specific biological or hazardous waste insurance coverage, and our property, casualty and general liability insurance policies specifically exclude coverage for damages and fines arising from biological or hazardous waste exposure or contamination.</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Accordingly, in the event of contamination or injury, we could be held liable for damages or be penalized with fines in an amount exceeding our resources, and clinical trials or regulatory approvals for any of our product candidates could be suspended. We also expect that operating as a public company will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our board committees or as our executive officers.</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Insurance coverage is becoming increasingly expensive, and in the future, we may not be able to maintain insurance coverage at a reasonable cost or in sufficient amounts to protect us against losses. We do not know if we will be able to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maintain existing insurance with adequate levels of coverage, and any liability insurance coverage we acquire in the future may not be sufficient to reimburse us for any expenses or losses we may suffer. A successful liability claim or series of claims brought against us could require us to pay substantial amounts and cause our share price to decline and, if judgments exceed our insurance coverage, could adversely affect our results of operations and business, including preventing or limiting the development and commercialization of any product candidates that we or our collaborators may develop.</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contract manufacturers or other suppliers fail to comply with environmental, health and safety laws and regulations, we could become subject to fines or penalties or incur significant costs.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and any of our contract manufacturers and suppliers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8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(under which we currently have an aggregate of approximately $10 million in coverage)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for any product candidate we develop alone or with collaborators could be suspended, which could have a material adverse effect on our business and financial condition.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regulations and permitting requirements, and any third-party contract manufacturers and suppliers we engage will also be subject to such current and future regulations and requirements. These current or future laws, regulations and permitting requirements may impair our research, development or production efforts. Failure to comply with these laws, regulations and permitting requirements, either by us or by any third-party contract manufacturers and suppliers we engage, also may result in substantial fines, penalties or other sanctions or business disruption.</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including our current and future relationships with third parties, may expose us to penalties for potential misconduct or improper activity, including non-compliance with regulatory standards and requirements.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Complex laws constrain our business and the financial arrangements and relationships through which we conduct our operations, including how we may research, market, sell and distribute product candidates alone or with collaborators. We are exposed to the risk of fraud or other misconduct by our employees, consultants and collaborators and, if we or our collaborators commence clinical trials and proceed to commercialization, our principal investigators and commercial partners, as well as healthcare professionals, third-party payors, patient organizations and customers. For example, misconduct by these parties could include intentional failures to comply with FDA regulations or the regulations applicable in the EU and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false and/or misleading statements, corruption of government officials, self-dealing and other abusive practices. These laws and regulations restrict or prohibit a wide range of pricing, discounting, marketing, promotion, sales commission and customer incentive programs and other business arrangements. Such misconduct also could involve the improper use or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auto"/>
        </w:rPr>
        <w:t>misrepresentation of information obtained in the course of clinical trials, creating fraudulent data in preclinical studies or clinical trials, illegal misappropriation of study materials or other property, or improper interactions with the FDA or other regulatory authorities, which could result in regulatory sanctions and cause serious harm to our or our collaborators’ reputations.</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Ensuring that our internal operations and current and future business arrangements with third parties comply with applicable healthcare laws and regulations will involve substantial costs. Additionally, we are subject to the risk that a person or government could allege such fraud or other misconduct, even if none occurred.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additional reporting requirements and oversight if subject to a corporate integrity agreement or similar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similar penalties, such as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 We have adopted policies applicable to all of our employees, but it is not always possible to identify and deter employee misconduct, and the precautions we take to detect and prevent such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result in the imposition of any of the penalties discussed above and have a significant impact on our business and financial condition.</w:t>
      </w:r>
    </w:p>
    <w:p>
      <w:pPr>
        <w:spacing w:after="0" w:line="1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tax rules relating to our business, and any audits, investigations or tax proceedings could have a material adverse effect on our business, results of operations and financial condition.</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income and non-income taxes in the United States. Income tax accounting often involves complex issues, and judgment is required in determining our provision for income taxes and other tax liabilities. We may operate in foreign jurisdictions in the future. We could become subject to income and non-income taxes in foreign jurisdictions as well. In addition, many jurisdictions have detailed transfer pricing rules, which require that all transactions with non-resident related parties be priced using arm’s length pricing principles within the meaning of such rules. The application of withholding tax, goods and services tax, sales taxes and other non-income taxes is not always clear, and we may be subject to tax audits relating to such withholding or non-income taxes. We believe that our tax positions are reasonable, and our tax reserves are adequate to cover any potential liability. We are currently not subject to any tax audits. However, the Internal Revenue Service (“IRS”) or other taxing authorities may disagree with our positions. If the IRS or any other tax authorities were successful in challenging our positions, we may be liable for additional tax and penalties and interest related thereto or other taxes, as applicable, in excess of any reserves established therefor, which may have a significant impact on our results and operations and future cash flow.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all, or any, of our net operating loss carryforwards.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we may not achieve profitability. As of December 31, 2025, we had U.S. federal and state net operating loss (“NOL”) carryforwards of $340.2 million and $317.3 million, respectively. Our federal NOL carryforwards carry forward indefinitely. Our state NOL carryforwards begin to expire in 2027. In addition, as of year ended December 31, 2025, we have U.S. federal and state R&amp;D tax credits of $22.5 million and an amount less than $0.1 million available to offset future U.S. federal and state income taxes, which begin to expire in 2029 and 2030, respectively. Additionally, for the year ended December 31, 2025, we had federal Orphan Drug credits of $13.5 million, which begin to expire in 2038.</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Changes in tax laws or regulations may adversely impact our ability to utilize all, or any, of our NOL carryforwards. For example, legislation enacted in 2017, informally titled the Tax Cuts and Jobs Act (the “TCJA”), significantly revised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Internal Revenue Code of 1986, as amended (the “Code”). Future guidance from the IRS and other tax authorities with respect to the TCJA may affect us, and certain aspects of the TCJA could be repealed or modified in future legislation. For example, the Coronavirus Aid, Relief, and Economic Security Act (the “CARES Act”) modified certain provisions of the TCJA. Under the CARES Act, NOLs arising in a tax year beginning after December 31, 2017, and before January 1, 2021, generally may now be carried back five years. Under the TCJA, as modified by the CARES Act, unused losses generated in taxable years ending after December 31, 2017 will not expire and may be carried forward indefinitely, but the deductibility of such NOLs in tax years beginning after December 31, 2020, is limited to 80% of taxable income. It is uncertain if and to what extent various states will conform to the TCJA or the CARES Act.</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2025, we have a valuation allowance for the full amount of our net deferred tax assets as the realization of the net deferred tax assets is not determined to be more likely than not. In addition, Sections 382 and 383 of the Code limit a corporation’s ability to utilize its NOL carryforwards and certain other tax attributes (including research credits) to offset any future taxable income or tax if the corporation experiences a cumulative ownership change of more than 50% over any rolling three-year period. State NOL carryforwards (and certain other tax attributes) may be similarly limited. A Section 382 ownership change can therefore result in significantly greater tax liabilities than a corporation would incur in the absence of such a change, and any increased liabilities could adversely affect the corporation’s business, results of operations, financial condition and cash flow. We have not yet determined if any prior change in the ownership of our equity or any change in such ownership in connection with our IPO, would trigger a Section 382 ownership change. It is possible that such a Section 382 ownership change has already occurred in prior periods. Furthermore, additional ownership changes may occur in the future as a result of events over which we will have little or no control, including purchases and sales of our equity by our 5% stockholders, the emergence of new 5% stockholders, additional equity offerings or redemptions of our stock or certain changes in the ownership of any of our 5% stockholders. As a result, our pre-2018 NOL carryforwards (and research tax credits) may expire prior to being used, and our NOL carryforwards and tax credits generated in 2018 and thereafter will be subject to a percentage limitation, upon an ownership change. Similar provisions of state tax law may also apply to limit our use of accumulated state tax attributes. As a result, even if we attain profitability, we may be unable to use all or a material portion of our NOLs and other tax attributes, which could adversely affect our future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5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entered into significant arrangements with collaborators and expect to depend on collaborations with third parties for certain research, development and commercialization activities, and if any such collaborations are not successful, it may harm our business and prospects.</w:t>
      </w:r>
    </w:p>
    <w:p>
      <w:pPr>
        <w:spacing w:after="0" w:line="13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We have sought in the past, and anticipate that we will continue to seek in the future, third-party collaborators for the research, development and commercialization of certain product candidates and the research and development of certain technologies. For example, the iECURE agreement focuses on research and development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products that utilize or incorporate our ARCUS nucleases. Our potential collaborators for other product research and development arrangements likely include large and mid-size pharmaceutical and biotechnology companies, and our potential collaborators for other technology research and development arrangements likely include universities and other research institutions.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Working with collaborators poses several significant risks. We have limited control over the amount and timing of resources that our collaborators dedicate to the product candidates or technologies we may seek to develop with them. A variety of factors may impact resource allocation decisions of collaborators, such as study or trial results, changes in the collaborator’s strategic focus, turnover in personnel responsible for the development activities, financial capacity or external factors such as a business combination or change in control that diverts resources or creates competing priorities. Collaboration agreements may not lead to development or commercialization of product candidates or the development of technologies in the most efficient manner or at all. Resource allocation and other developmental decisions made by our collaborators may result in the delay or termination of research programs, studies or trials, repetition of or initiation of new studies or trials or provision of insufficient funding or resources for the completion of studies or trials or the successful marketing and distribution of any product candidates that may receive approval. Collaborators could independently develop, or develop with third parties, product candidates or technologies that compete directly or indirectly with our product candidates or technologies if the collaborators believe that competitive products or technologies are more likely to be successfully developed or can be commercialized under terms that are more economically attractive than ours. Collaborators may not properly obtain, maintain, enforce or defend our intellectual property or proprietary rights or may use our proprietary information in such a way that could jeopardize or invalidate our proprietary information or expose us to potential litigation. Disputes may arise between us and our collaborators that result in the delay or termination of the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development or commercialization activities or that result in costly litigation or arbitration that diverts management attention and resources.</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ability to generate revenues from these arrangements will depend on our collaborators’ abilities to successfully perform the functions assigned to them in these arrangements. If our collaborations do not result in the successful development and commercialization of product candidates or technologies, or if one of our collaborators terminates its agreement with us, we may not receive any future funding or milestone or royalty payments under the collaboration. If we do not receive the funding we expect under these agreements, our development of product candidates or technologies could be delayed, and we may need additional resources to develop such product candidates or technologies. For example, we waived earned, but unpaid milestone payments in connection with the termination of the development and commercial license agreement by and between Les Laboratoires Servier and Institut de Recherches Internationales, Servier (collectively “Servier”). Our failure to replace any of our terminated collaboration agreements or attract new collaborators may cause us to need to raise additional capital to pursue further development or commercialization of the applicable product candidates or technologies. These events could delay development programs, negatively impact the perception of our company in business and financial communities or cause us to have to cease development of the product candidate covered by the collaboration arrangement. Failure to develop or maintain relationships with any current collaborators could result in the loss of opportunity to work with that collaborator or reputational damage that could impact our relationships with other collaborators in the relatively small industry communities in which we operate. Moreover, all of the risks relating to product development, regulatory approval and commercialization described in this Quarterly Report on Form 10-Q apply to the activities of our collaborators. If the collaborative or strategic relationships we may enter into from time to time are not effective and successful, it may damage our reputation and business prospects, delay or prevent the development and commercialization of product candidates and inhibit or preclude our ability to realize any revenues.</w:t>
      </w:r>
    </w:p>
    <w:p>
      <w:pPr>
        <w:spacing w:after="0" w:line="1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on commercially reasonable terms, we may have to alter our research, development and commercialization plans.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research and product development programs and the potential commercialization of any product candidates we develop alone or with collaborators will require substantial additional cash to fund expenses, and we expect to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by the FDA or similar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19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by collaboration agreements from entering into future agreements on certain terms or for certain development activities with potential collaborators. For example, we have granted exclusive rights or options to iECURE for certain targets, and during the term of our collaboration and license agreements we will be restricted from granting rights to other parties to use our ARCUS technology to pursue potential products that address those targets. Similarly, our collaboration agreements have in the past and may in the future contain non-competition provisions that could limit our ability to enter into strategic collaborations with future collaborators.</w:t>
      </w:r>
    </w:p>
    <w:p>
      <w:pPr>
        <w:spacing w:after="0" w:line="17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or to maintain existing collaborations,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development or commercialization activities on our own, we may need to obtain additional capital, which may not be available to us on acceptable terms or at all.</w:t>
      </w:r>
    </w:p>
    <w:p>
      <w:pPr>
        <w:spacing w:after="0" w:line="15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our clinical trials and some aspects of our research and preclinical testing, and if those third parties do not successfully carry out their contractual duties, comply with regulatory requirements, or otherwise perform in a satisfactory manner, we may not be able to obtain regulatory approval or commercialize product candidates, or such approval or commercialization may be delayed, and our business may be substantially harmed.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rely on medical institutions, universities, clinical investigators, contract laboratories and other third parties, such as CROs, to conduct preclinical studies and future clinical trials for our product candidates. Nevertheless, we will be responsible for ensuring that each of our studies and trials is conducted in accordance with the applicable protocol, legal and regulatory requirements and scientific standards, and our reliance on such third parties will not relieve us of our regulatory responsibilities.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we intend to design the trials for our product candidates either alone or with collaborators, third parties may conduct all of the trials. As a result, many important aspects of our research and development programs, including their conduct and timing, will be outside of our direct control. Our reliance on third parties to conduct future studies and trials will also result in less direct control over the management of data developed through studies and trials than would be the case if we were relying entirely upon our own staff. Communicating with outside parties can also be challenging, potentially leading to mistakes and difficulties in coordinating activities. Outside parties may have staffing difficulties, fail to comply with contractual obligations, experience regulatory compliance issues, undergo changes in priorities, become financially distressed or form relationships with other entities, some of which may be our competitors. We also face the risk of potential unauthorized disclosure or misappropriation of our intellectual property by CROs or other third parties, which may reduce our trade secret protection and allow our potential competitors to access and exploit our proprietary technology. For any violations of laws and regulations during the conduct of our preclinical studies and future clinical trials, we could be subject to warning letters or enforcement action that may include civil penalties up to and including criminal prosecution.</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example, we will remain responsible for ensuring that each of our clinical trials is conducted in accordance with the general investigational plan and protocols for the trial. Moreover, the FDA requires us to comply with regulations, commonly referred to as GCPs, for conducting, monitoring, recording and reporting the results of clinical trials to assure that data and reported results are credible and accurate and that the rights, integrity and confidentiality of trial participants are protected. If we, our collaborators, our CROs or other third parties fail to comply with applicable GCPs, the clinical data generated in our clinical trials may be deemed unreliable and FDA or comparable foreign regulatory authorities may require us to perform additional clinical trials before approving our marketing applications. We also are required to register certain ongoing clinical trials and post the results of such completed clinical trials on a government-sponsored database, ClinicalTrials.gov, within certain timeframes. Failure to do so can result in fines, adverse publicity and civil and criminal sanctions.</w:t>
      </w:r>
    </w:p>
    <w:p>
      <w:pPr>
        <w:spacing w:after="0" w:line="19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If our CROs or other third parties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trials for product candidates may be extended, delayed or terminated, and we or our collaborators may not be able to obtain regulatory approval for, or successfully commercialize, any product candidate that we develop. If we are required to repeat, extend the duration of or increase the size of any trials we conduct, it could significantly delay commercialization and require significantly greater expenditures. As a result of any of these factors, our financial results and the commercial prospects for any product candidate that we or our collaborators may develop would be harmed, our costs could increase and our ability to generate revenues could be delayed.</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supply raw materials or manufacture product supplies that are necessary for the conduct of preclinical studies, clinical trials and manufacturing of our product candidates, and failure by third parties to provide us with sufficient quantities of products, or to do so at acceptable quality levels or prices and on a timely basis, could harm our business.</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are dependent on third parties for the supply of various biological materials, such as cells, cytokines and antibodies, and the manufacture of product supplies, such as media, plasmids, mRNA and AAV viral vectors, which are necessary to produce our product candidates. The supply of these materials could be reduced or interrupted at any time. In such case,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or our collaborators may not be able to develop, manufacture and market product candidates in a timely and competitive manner, or at all. If any of our product candidates receives approval, we will likely need to seek alternative sources of supply of raw materials or manufactured product supplies and there can be no assurance that we will be able to establish such relationships to provide such supplies on commercially reasonable terms or at acceptable quality levels, if at all. If we are unable to identify and procure additional sources of supply that fit our required needs, we could face substantial delays or incur additional costs in procuring such materials. In addition, manufactured product supplies are subject to stringent manufacturing processes and rigorous testing. Delays in the completion and validation of facilities and manufacturing processes of these materials could adversely affect the ability to complete studies or trials and commercialize any product candidates that may receive approval. Furthermore, if our suppliers or manufacturers encounter challenges relating to employee turnover, the supply and manufacturing of our materials could be delayed or adversely affected as such parties seek to hire and train new employees. These factors could cause the delay of studies or trials, regulatory submissions, required approvals or commercialization of product candidates that we or our collaborators may develop, cause us to incur higher costs and prevent us from commercializing products successfully. Furthermore, if our suppliers or manufacturers fail to meet contractual requirements, and we are unable to secure one or more replacements capable of production at a substantially equivalent cost, our or our collaborators’ studies or trials may be delayed and we could lose potential revenue.</w:t>
      </w:r>
    </w:p>
    <w:p>
      <w:pPr>
        <w:spacing w:after="0" w:line="1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manufacturing process of product candidates, and failure by those parties to adequately perform their obligations could harm our business.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rely on outside vendors for the manufacturing process, including process development, of product candidates that we or our collaborators may develop. The facilities used by our contract manufacturers to manufacture product candidates must be approved by the FDA or other foreign regulatory agencies pursuant to inspections that will be conducted after we submit an application to the FDA or other foreign regulatory agencies. To the extent that we or our collaborators engage third parties for manufacturing services, we will not control the manufacturing process of, and will be completely dependent on, our contract manufacturing providers for compliance with cGMP requirements for manufacture of the product candidates. We have not yet caused any product candidates to be manufactured or processed on a commercial scale and may not be able to do so. We anticipate making changes as we work to optimize the manufacturing process, and we cannot be sure that even minor changes in the process will result in products that are safe and effective. If our contract manufacturers cannot successfully manufacture material that conforms to our specifications and the strict regulatory requirements of the FDA or other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product candidates or if it withdraws any such approval in the future, we may need to find alternative manufacturing facilities, which would significantly impact our ability to develop, obtain regulatory approval for or market any of our or our collaborators’ potential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may decline if we do not adequately protect our proprietary rights, and if our proprietary rights do not provide a competitive advantage.</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obtaining and maintaining proprietary rights to our intellectual property estate, including rights relating to ARCUS and to our product candidates, as well as successfully defending these rights against third-party challenges and successfully enforcing these rights to prevent third-party infringement. We will only be able to protect ARCUS and product candidates from unauthorized use by third parties to the extent that valid and enforceable patents cover them. Our ability to obtain and maintain patent protection for ARCUS and our product candidates is uncertain due to a number of factors, including that:</w:t>
      </w:r>
    </w:p>
    <w:p>
      <w:pPr>
        <w:spacing w:after="0" w:line="183"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invent the technology covered by our pending patent applications or issued patents;</w:t>
      </w:r>
    </w:p>
    <w:p>
      <w:pPr>
        <w:spacing w:after="0" w:line="11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the first to file patent applications covering product candidates, including their compositions or methods of use, as patent applications in the United States and most other countries are confidential for a period of time after filing;</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compositions and methods may not be patentable;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disclosures in patent applications may not be sufficient to meet the statutory requirements for patentability;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of our pending patent applications may not result in issued patents;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identical, similar or alternative technologies, products or compositions or methods of use thereof;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design around our patent claims to produce competitive technologies or products that fall outside of the scope of our patents;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patentable aspects of our research and development output before it is too late to obtain patent protection;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seek or obtain patent protection in countries that may eventually provide us a significant business opportunity;</w:t>
      </w:r>
    </w:p>
    <w:p>
      <w:pPr>
        <w:spacing w:after="0" w:line="11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may not provide a basis for commercially viable products, may not provide any competitive advantages or may be successfully challenged by third parties;</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identify prior art or other bases upon which to challenge and ultimately invalidate our patents or otherwise render them unenforceable; and</w:t>
      </w:r>
    </w:p>
    <w:p>
      <w:pPr>
        <w:spacing w:after="0" w:line="53"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growing scientific and patent literature relating to engineered endonucleases, including our own patents and publications, may make it increasingly difficult or impossible to patent new engineered nucleases in the future.</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Even if we have or obtain patents covering ARCUS or any product candidates or compositions, we and our collaborators may still be barred from making, using and selling such product candidates or technologies because of the patent rights of others. Others may have filed, and in the future may file, patent applications covering compositions, products or methods that are similar or identical to ours, which could materially affect our ability to successfully develop any product candidates or to successfully commercialize any approved products alone or with collaborators. In addition, because patent applications can take many years to issue, there may be currently pending applications unknown to us that may later result in issued patents that we or our collaborators may infringe. These patent applications may have priority over patent applications filed by us.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have been, and may in the future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For example, proceedings held by the Patent Trial and Appeal Board (the “PTAB”), of the USPTO could result in an adverse outcome, affecting our competitive position, including, without limitation, loss of some or all of any involved patent claims, limiting our ability to stop others from using or commercializing similar or identical technology and products, which could harm our business, financial condition and results of operations. Protecting our patent rights in connection with such proceedings may also be expensive and may involve the diversion of significant management time.</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we cannot guarantee that any patents will be issued from any pending or future owned or licensed patent applications. Thus, even if our patent applications issue as patents, they may not issue in a form that will provide us with meaningful protection, prevent competitors from competing with us or otherwise provide us with any competitive advantage. In addition, third parties may be able to develop products that are similar to, or better than, ours in a way that is not covered by the claims of our patents, or may have blocking patents that could prevent us from marketing our products or practicing our own patented technology. Moreover, patents have a limited lifespan. In the United States, the natural expiration of a patent is generally 20 years after it is filed. Various extensions may be available; however, the life of a patent, and the protection it affords, is limited. Without patent protection for current or future product candidates, we may be open to competition from generic versions of such potential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those we or our collaborators may develop.</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Many biotechnology companies and academic institutions are currently pursuing a variety of different nuclease systems for genome editing technologies using zinc finger nucleases, TALENs, and CRISPR/Cas9 and the use of those nucleases in cancer immunotherapy, gene therapy and genome editing. Although those nucleases are physically and chemically different from our ARCUS nucleases, those companies and institutions may seek patents that broadly cover aspects of cancer immunotherapy, gene therapy and genome editing using nucleases generally. Such patents, if issued, valid and enforceable, could prevent us from marketing our product candidates, if approved, practicing our own patented technology, or might require us to take a license which might not be available on commercially reasonable terms or at all. While we expect that we will continue to be able to patent our ARCUS nucleases for the foreseeable future, as the scientific and patent literature relating to engineered endonucleases increases, including our own patents and publications, it may become more difficult or impossible to patent new engineered endonucleases in the future.</w:t>
      </w:r>
    </w:p>
    <w:p>
      <w:pPr>
        <w:spacing w:after="0" w:line="188" w:lineRule="exact"/>
        <w:rPr>
          <w:sz w:val="20"/>
          <w:szCs w:val="20"/>
          <w:color w:val="auto"/>
        </w:rPr>
      </w:pPr>
    </w:p>
    <w:p>
      <w:pPr>
        <w:ind w:right="8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We may need to outsource and rely on third parties for many aspects of the development, sales and marketing of any products covered under our current and future license agreements. Delay or failure by these third parties could adversely affect the continuation of our license agreements with our licensors.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In addition to the costs of any litigation we may face as a result, any legal action against us could increase our payment obligations under the respective agreement and require us to pay interest and potentially damages to such licensors.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some cases, patent prosecution of our licensed technology is controlled solely by the licensor. If such licensor fails to obtain and maintain patent or other protection for the proprietary intellectual property we license from such licensor, we could lose our rights to such intellectual property or the exclusivity of such rights, and our competitors could market competing products using such intellectual property. In that event, we may be required to expend significant time and resources to develop or license replacement technology. If we are unable to do so, we or our collaborators may be unable to develop or commercialize the affected product candidates, which could harm our business significantly. In other cases, we control the prosecution of patents resulting from licensed technology. In the event we breach any of our obligations related to such prosecution, we may incur significant liability to our licensing partners.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example, our license agreement (the “Duke License”) with Duke University (“Duke”) imposes various payment, royalty and other obligations on us in order to maintain the license. If we fail to make royalty payments or milestone payments required under the Duke License, Duke may terminate the agreement. If we or our affiliates obtain a license from a third party to practice the Duke technology, we must use commercially reasonable efforts to secure a covenant not to sue Duke, or any of its faculty, students, employees or agents, for any research and development efforts conducted at Duke that resulted in the creation of any of its inventions or intellectual property rights arising therefrom. Additionally, because development of the Duke technology was funded in part by the U.S. government, it is subject to certain government rights and obligations, including the requirement that any products sold in the United States based upon such technology be substantially manufactured in the United States.</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our cross-license agreement (the “Cellectis License”) with Cellectis S.A. (“Cellectis”) imposes various obligations on us in order to maintain the license. In particular, if we participate in or provide assistance to a third party challenging the validity, enforceability and/or patentability of any claim of any patent licensed to us by Cellectis under this agreement, Cellectis may terminate the agreement. The Cellectis License does not provide exclusive rights to use the licensed intellectual property and technology or rights in all relevant fields in which we may wish to develop or commercialize our technology and products in the future. As a result, we are not able to prevent competitors from developing and commercializing competitive products and technology that may use this technology. Additionally, we do not have the right to control the preparation, filing, prosecution, maintenance, enforcement and defense of patents and patent applications covering the technology that we license from Cellectis. Therefore, we cannot be certain that these patents and patent applications will be prepared, filed, prosecuted, maintained and defended in a manner consistent with the best interests of our business. If Cellectis or other licensors fail to prosecute, maintain, enforce and defend the patents subject to such licenses,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we fail to comply with our obligations under the Duke License or the Cellectis License, or arrangements with any other licensors, our counterparties may have the right to terminate these agreements, in which event we might not be able to develop, manufacture or market any product candidate that is covered by these agreements, which could materially adversely affect the value of any such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license agreement, including:</w:t>
      </w:r>
    </w:p>
    <w:p>
      <w:pPr>
        <w:spacing w:after="0" w:line="11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milestones or other payments due to our licensors;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license agreement;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collaborators;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Such disputes may be costly to resolve and may divert management’s attention away from day-to-day activities. If disputes over intellectual property that we have licensed from third parties prevent or impair our ability to maintain our licensing arrangements on acceptable terms, we or our collaborators may be unable to successfully develop and commercialize the affected product candidates.</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in-licensed intellectual property has been discovered through government funded research and thus may be subject to federal regulations such as “march-in rights”, certain reporting requirements and a preference for U.S.-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based companies, and compliance with such regulations may limit our exclusive rights and our ability to contract with foreign manufacturers.</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Certain intellectual property rights that have been in-licensed pursuant to the Duke License have been generated through the use of U.S. government funding and are therefore subject to certain federal regulations. As a result, the U.S. government may have certain rights to intellectual property embodied in our current or future product candidates pursuant to the Bayh-Dole Act of 1980, or the Patent and Trademark Law Amendments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and the Duke License requires that we comply with this requirement.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This preference for U.S. industry may limit our ability to contract with foreign product manufacturers for products covered by such intellectual property. To the extent any of our owned or licensed future intellectual property is also generated through the use of U.S. government funding, the provisions of the Bayh-Dole Act may similarly apply.</w:t>
      </w:r>
    </w:p>
    <w:p>
      <w:pPr>
        <w:spacing w:after="0" w:line="188"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with respect to our product candidates, thereby potentially extending the term of marketing exclusivity for such product candidates, our business may be harmed.</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FDA marketing approval of our product candidates, one or more of our U.S. patents may be eligible for limited patent term extension under the Drug Price Competition and Patent Term Restoration Act of 1984, or the Hatch-Waxman Act, which permits a patent term extension of up to five years for a patent covering an approved product as compensation for effective patent term lost during product development and the FDA regulatory review process. In the EU, our product candidates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Patents and patent applications involve highly complex legal and factual questions, which, if determined adversely to us, could negatively impact our patent position.</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USPTO and its foreign counterparts are sometimes uncertain and could change in the future. Consequently, the issuance and scope of patents cannot be predicted with certainty. Patents, if issued, may be challenged, invalidated or circumvented. U.S. patents and patent applications may also be subject to interference or derivation proceedings, and U.S. patents may be subject to reexamination proceedings, post-grant review and/or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 xml:space="preserve">interference, derivation,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opposition proceedings may be costly. Accordingly, rights under any issued patents may not provide us with sufficient protection against competitive products or processes.</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Furthermore, even if not challenged, our patents and patent applications may not adequately protect our technology and any product candidates or products that we develop alone or with collaborators or prevent others from designing their products to avoid being covered by our claims. If the breadth or strength of protection provided by the patent applications we hold with respect to product candidates or potential products is threatened, it could dissuade companies from collaborating with us to develop, and could threaten our or their ability to successfully commercialize, such product candidates. Furthermore, for U.S. applications in which any claim is entitled to a priority date before March 16, 2013, an interference proceeding can be provoked by a third party or instituted by the USPTO in order to determine who was the first to invent any of the subject matter covered by such patent claims.</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changes in, or different interpretations of, patent laws in the United States and other countries may permit others to use our discoveries or to develop and commercialize our technology and product candidates or products without providing any compensation to us, or may limit the scope of patent protection that we are able to obtain. The laws of some countries do not protect intellectual property rights to the same extent as U.S. laws, and those countries may lack adequate rules and procedures for defending our intellectual property rights.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the patent applications we hold or have in-licensed with respect to our current and future research and development programs and product candidates fail to issue, if their validity, breadth or strength of protection is threatened, or if they fail to provide meaningful exclusivity for our technology or any products and product candidates that we or our collaborators may develop, it could dissuade companies from collaborating with us to develop product candidates, encourage competitors to develop competing products or technologies and threaten our or our collaborators’ ability to commercialize future product candidates. Any such outcome could have a material adverse effect on our business.</w:t>
      </w:r>
    </w:p>
    <w:p>
      <w:pPr>
        <w:spacing w:after="0" w:line="17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upon our ability to develop, manufacture, market and sell product candidates without alleged or actual infringement, misappropriation or other violation of the patents and proprietary rights of third parties. Litigation relating to infringement or misappropriation of patent and other intellectual property rights in the pharmaceutical and biotechnology industries is common, including patent infringement lawsuits, interferences, oppositions and reexamination proceedings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Numerous United States, EU and other internationally issued patents and pending patent applications, which are owned by third parties, exist in the fields in which we and our collaborators are developing product candidates, and as the biotechnology and pharmaceutical industries expand and more patents are issued, the risk increases that our product candidates may be subject to claims of infringement of the intellectual property rights of third parties. As a result of any patent infringement claims, or in order to avoid any potential infringement claims, we may choose to seek, or be required to seek, a license from the third party, which may require payment of substantial royalties or fees, or require us to grant a cross-license under our intellectual property rights, similar to the cross license we granted Cellectis as part of our patent litigation settlement.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or our collaborators could be prevented from commercializing one or more product candidates, or forced to modify such product candidates, or to cease some aspect of our business operations, which could harm our business significantly. We or our collaborators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19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Further, if a patent infringement suit is brought against us, our collaborators or our third-party service providers, our development, manufacturing or sales activities relating to the product or product candidate that is the subject of the suit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may be delayed or terminated. In addition, defending such claims has in the past and may in the future cause us to incur substantial expenses and, if successful, could cause us to pay substantial damages if we are found to be infringing a third party’s patent rights. These damages potentially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been and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or our collaborators’ ability, to further develop or commercialize the applicable product candidate unless we obtain a license under the applicable patents, or until such patents expire or are finally determined to be invalid or unenforceable. Similarly, if any third-party patents were held by a court of competent jurisdiction to cover aspects of our technologies, compositions, formulations, or methods of treatment, prevention or use, the holders of any such patents may be able to prohibit our use of those technologies, compositions, formulations, methods of treatment, prevention or use or other technologies, effectively blocking our or our collaborators’ ability to develop and commercialize the applicable product candidate until such patent expires or is finally determined to be invalid or unenforceable or unless we or our collaborators obtain a license.</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have a material adverse effect on our ability to raise additional funds or otherwise have a material adverse effect on our business, results of operation, financial condition or cash flows.</w:t>
      </w:r>
    </w:p>
    <w:p>
      <w:pPr>
        <w:spacing w:after="0" w:line="18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Third parties might allege unenforceability of our patents because during prosecution of the patent an individual connected with such prosecution withheld relevant information, or made a misleading statement.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and perhaps all, of the patent protection on our technology or product candidates. Our patents and other intellectual property rights also will not protect our technology if competitors design around our protected technology without infringing our patents or other intellectual property rights. Even if resolved in our favor, litigation or other legal proceedings relating to intellectual property claims may cause us to incur significant expenses and could distract our technical and management personnel from their normal responsibilities. 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and if securities analysts or investors view these announcements in a negative light, the price of our common stock could be adversely affected. Such litigation or proceedings could substantially increase our operating losses and reduce our resources available for development activities. We may not have sufficient financial or other resources to adequately conduct such litigation or proceedings.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patent law could have a negative impact on our business.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From time to time, the Supreme Court, other federal courts, the United States Congress, (“Congress”), the USPTO and similar international authorities may change the standards of patentability, and any such changes could have a negative impact on our business. For example, the America Invents Act (the “AIA”), which was passed in September 2011, resulted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significant changes to the U.S. patent system.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USPTO after that date but before us could therefore be awarded a patent covering an invention of ours even if we made the invention before it was made by the third party. Circumstances could prevent us from promptly filing patent applications on our inventions.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AIA limited where a patentee may file a patent infringement suit and provided opportunities for third parties to challenge any issued patent in the USPTO. Those provisions apply to all of our U.S. patents, regardless of when issued.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These provisions could increase the uncertainties and costs surrounding the prosecution of our or our licensors’ patent applications and the enforcement or defense of our or our licensors’ issued patents.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Additionally, the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our patents and patent applications. Depending on decisions by Congress, the federal courts and the USPTO, the laws and regulations governing patents could change in unpredictable ways and could weaken our ability to obtain new patents or to enforce our existing patents and patents that we might obtain in the future. In addition, the European patent system is relatively stringent in the type of amendments that are allowed during prosecution, but the complexity and uncertainty of European patent laws has also increased in recent years. Complying with these laws and regulations could limit our ability to obtain new patents in the future that may be important for our business.</w:t>
      </w:r>
    </w:p>
    <w:p>
      <w:pPr>
        <w:spacing w:after="0" w:line="18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unable to protect the confidentiality of our trade secrets and enforce our intellectual property assignment agreements, our business and competitive position would be harmed.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because we operate in the highly technical field of development of product candidates and products using genome editing, we rely significantly on trade secret protection in order to protect our proprietary technology and processes. Trade secrets are difficult to protect. Our policy is to enter into confidentiality and intellectual property assignment agreements with our employees, consultants, outside scientific collaborators, sponsored researchers and other advisors. These agreements generally require that the other party keep confidential and not disclose to third parties all confidential information developed by the party or made known to the party by us during the course of the party’s relationship with us. These agreements also generally provide that inventions conceived by the party in the course of rendering services to us will be our exclusive property. However,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 In addition, these agreements may be held unenforceable and may not effectively assign intellectual property rights to us. If our trade secrets and other unpatented or unregistered proprietary information are disclosed, we are likely to lose such trade secret protection.</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addition, agreements with third parties typically restrict the ability of such third parties to publish data potentially relating to our trade secrets. Our academic collaborators typically have rights to publish data, provided that we are notified in advance and may delay publication for a specified period of time in order to secure our intellectual property rights arising from the arrangement. In other cases, publication rights are controlled exclusively by us, although in some cases we may share these rights with other parties. We also conduct joint research and product development activities that may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require us to share trade secrets under the terms of our research and development collaborations or similar agreements. In addition to contractual measures, we try to protect the confidential nature of our proprietary information using physical and technological security measures. Such measures may not provide adequate protection for our proprietary information. For example, our security measures may not prevent an employee or consultant with authorized access from misappropriating our trade secrets and providing them to a competitor, and the recourse we have available against such misconduct may not provide an adequate remedy to protect our interests fully. Enforcing a claim that a party illegally disclosed or misappropriated a trade secret can be difficult, expensive and time consuming, and the outcome is unpredictable. In addition, courts outside the United States may be less willing to protect trade secrets. Furthermore, our proprietary information may be independently developed by others in a manner that could prevent legal recourse by us. Competitors could purchase any products we may develop and commercialize and attempt to reverse engineer and replicate some or all of the competitive advantages we derive from our development efforts, willfully infringe our intellectual property rights or design around our protected technology.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confidential or proprietary information, including our trade secrets, were to be disclosed or misappropriated, or if any such information was independently developed by a competitor, our competitive position could be harmed and such disclosure or misappropriation could have a material adverse effect on our business.</w:t>
      </w:r>
    </w:p>
    <w:p>
      <w:pPr>
        <w:spacing w:after="0" w:line="1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In-licensing patents covering product candidates in all countries throughout the world may similarly be prohibitively expensive, if such opportunities are available at all.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generally apply for patents in those countries where we intend to make, have made, use, offer for sale or sell products and where we assess the risk of infringement to justify the cost of seeking patent protection. However, we do not seek protection in all countries where we sell products and we may not accurately predict all the countries where patent protection would ultimately be desirable. If we fail to timely file a patent application in any such country or major market, we may be precluded from doing so at a later date.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or our collaborators may develop, and our patents or other intellectual property rights may not be effective or sufficient to prevent such competition.</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 For example, many other countries, including countries in the EU,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In those countries, we and our licensors may have limited remedies if patents are infringed or if we or our licensors are compelled to grant a license to a third party, which could materially diminish the value of those patents and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European Union’s Unified Patent Court may in particular present uncertainties for our ability to protect and enforce our patent rights against competitors in Europe. In 2012, the European Patent Package, or (“EU Patent Package”) regulations were passed with the goal of providing a single pan-European Unitary Patent and a new European Unified Patent Court, or UPC, for litigation involving European patents. Implementation of the EU Patent Package occurred in June 2023. Under the UPC, all European patents, including those issued prior to ratification of the European Patent Package, will by default automatically fall under the jurisdiction of the UPC. The UPC provides our competitors with a central forum and unified patent laws to predictably apply to existing European patents, replacing the unpredictable nature of applying individual national laws to each patent. Moreover, the UPC allows for the possibility of a competitor to obtain an injunction in all UPC-contracting states. It will be several years before we will understand the scope of patent rights that will be recognized and the strength of patent remedies that are provided by the UPC. Under the EU Patent Package, we have the right to opt our patents out of the UPC over the first seven years of the court’s existence, but doing so may preclude us from realizing the benefits of the new unified court.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Accordingly, our efforts to enforce our intellectual property rights around the world may be inadequate to obtain a significant commercial advantage from the intellectual property that we develop or license.</w:t>
      </w:r>
    </w:p>
    <w:p>
      <w:pPr>
        <w:spacing w:after="0" w:line="17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5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rights, through licenses from third parties and under patents that we own, to the intellectual property to develop the product candidates we are currently developing alone or with collaborators. Because our programs may involve additional product candidates that may require the use of proprietary rights held by third parties, the growth of our business may depend in part on our ability to acquire, in-license or use these proprietary rights. In addition,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The licensing and acquisition of third-party intellectual property rights is a competitive area, and a number of more established companies, or companies that have greater resources than we do, may also be pursuing strategies to license or acquire third-party intellectual property rights that we may consider necessary or attractive to develop or commercialize product candidates. These established companies may have a competitive advantage over us due to their size and greater cash resources and clinical development and commercialization capabilities. We may not be able to successfully complete such negotiations and ultimately acquire the rights to the intellectual property surrounding product candidates that we may seek to acquire.</w:t>
      </w:r>
    </w:p>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example,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strategic alliance. Regardless of such right of first negotiation, we may be unable to negotiate a license within the specified time frame or under terms that are acceptable to us, and the institution may license such intellectual property rights to third parties, potentially blocking our ability to pursue our development and commercialization plans.</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to us intellectual property rights that we require in order to successfully develop and commercialize potential products. We also may be unable to obtain such a license or assignment on terms that would allow us to make an appropriate return on our investment. In either event, our business and prospects for growth could suffer.</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If our trademarks and trade names are not adequately protected, then we may not be able to build name recognition in our markets of interest and our business may be adversely affected. We may not be able to protect our rights to our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and other intellectual property may be ineffective and could result in substantial costs and diversion of resources and could adversely impact our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to us as a biopharmaceutical company, as our stock price can significantly fluctuate as a result of public announcements regarding the progress of our development efforts for our discovery platform and our product candidates. If we face such litigation, it could result in substantial costs and a diversion of management’s attention and resources, which could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do not intend to pay any dividends to holders of our common stock for the foreseeable future. We currently intend to invest our future earnings, if any, to fund our growth. In addition, our future debt instruments may materially restrict our ability to pay dividends on our common stock. Therefore, you are not likely to receive any dividends on your common stock for the foreseeable future, and the success of an investment in our common stock will depend upon any future appreciation in its value. Consequently, you may need to sell all or part of your common stock after price appreciation, which may never occur, as the only way to realize any future gains on your investment.</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or Delaware law might discourage, delay or prevent a change in control of our company or changes in our management and therefore depress the trading price of our common stock.</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79" w:lineRule="exact"/>
        <w:rPr>
          <w:sz w:val="20"/>
          <w:szCs w:val="20"/>
          <w:color w:val="auto"/>
        </w:rPr>
      </w:pPr>
    </w:p>
    <w:p>
      <w:pPr>
        <w:ind w:left="660" w:right="60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53"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5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6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our chief executive officer (or our president, in the absence of a chief executive officer) or a majority of our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6"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our amended and restated bylaws include exclusive forum provisions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to the fullest extent permitted by law, the Court of Chancery of the State of Delaware will be the sole and exclusive forum for (1) any derivative action or proceeding brought on our behalf, (2) any action asserting a claim for breach of a fiduciary duty owed by any of our directors, officers or other employees to us or our stockholders, (3) any action asserting a claim arising pursuant to any provision of the General Corporation Law of the State of Delaware, our amended and restated certificate of incorporation or our amended and restated bylaws, or (4) any action asserting a claim governed by the internal affairs doctrine. Under our amended and restated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Exchange Act or the rules and regulations thereunder. Further, our amended and restated bylaws provide that, 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 and that any person or entity purchasing or otherwise acquiring or holding any interest in shares of our capital stock are deemed to have notice of and consented to this provision.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For example,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under applicable regulations promulgated by the SEC. We will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As a smaller reporting company, we are able to take advantage of certain exemptions from disclosure requirements, including presenting only the two most recent fiscal years of audited financial statements and reduced disclosure obligations regarding executive compensation in our periodic reports and proxy statements.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 exemptions available to smaller reporting companies. If investors find our common stock less attractive as a result, there may be a less active trading market for our common stock and our stock price may be reduced or more volatile.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third parties with whom we have relationships may be adversely affected by natural or manmade disasters, public health emergencies and other natural catastrophic events, and our business continuity and disaster recovery plans may not adequately protect us from a serious disaster.</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Natural or manmade disasters could severely disrupt our operations and have a material adverse effect on our business, results of operations, financial condition and prospects. If a natural disaster, public health emergency, power outage or other event occurred that prevented us from using all or a significant portion of our facilities, that damaged our infrastructure or that otherwise disrupted operations, it may be difficult or, in certain cases, impossible for us to continue our business for a substantial period of time, and our research and development activities could be setback or delayed.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and such an event could disrupt our operations, cause us to incur remediation costs, damage our reputation and cause a loss of confidence in us and our or third parties’ ability to conduct clinical trials, which could adversely affect our reputation and delay our research and development programs.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Global credit and financial markets have experienced extreme volatility and disruptions in the recent past, including severely diminished liquidity and credit availability, declines in consumer confidence, declines in economic growth, increases in unemployment rates, exchange rate impacts and uncertainty about economic stability, and similar deterioration in the credit and financial markets and confidence in economic conditions may occur in the future. Our general business strategy may be adversely affected by any such economic downturn, volatile business environment or unpredictable and unstable market conditions. If the current equity and credit markets deteriorate, or do not improve, it may make any necessary debt or equity financing more difficult, more costly and more dilutive. If we are unable to obtain sufficient funding on a timely basis or on favorable terms, we may be required to significantly delay, alter, reduce or eliminate one or more of our research or product development programs and/or commercialization efforts, or to grant rights to develop and market products or product candidates that we would otherwise prefer to develop and market ourselves. We may also be otherwise unable to execute our business plan or growth strategy, or capitalize on business opportunities as desired.</w:t>
      </w:r>
    </w:p>
    <w:p>
      <w:pPr>
        <w:spacing w:after="0" w:line="1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there is a risk that one or more of our current service providers, manufacturers or others with whom we have strategic relationships may not survive any difficult economic times, which could directly affect our ability to attain our operating goals.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September 30, 2026, we had cash, cash equivalents and restricted cash of $108.0 million. While we are not aware of any downgrades, material losses or other significant deterioration in the fair value of our cash equivalents since September 30, 2026, deterioration of the global credit and financial markets could negatively impact our current portfolio of cash equivalents or our ability to meet our financing objectives. In addition, we may have bank deposits at financial institutions in excess of FDIC insured limits, and we currently maintain and are required to maintain such deposits at the Banc of California pursuant to the 2024 Loan and Security Agreement. Market conditions can impact the viability of these institutions and, in the event of failure of the financial institution where we maintain our cash and cash equivalents, if the treatment of our cash sweep accounts were called into question in a bank receivership or if there is continued turmoil in the banking industry generally, we may not be able to access uninsured funds in a timely manner or at all, which would adversely impact our business, financial condition and results of operations. Furthermore, our stock price may decline due in part to the volatility of the stock market and any general economic downturn.</w:t>
      </w:r>
    </w:p>
    <w:p>
      <w:pPr>
        <w:spacing w:after="0" w:line="1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117"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trading volume levels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regarding debt or equity financing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our insiders or our other stockholders;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delays in our studies or trials, or those of our collaborators, competitors or companies perceived to be similar to us;</w:t>
      </w:r>
    </w:p>
    <w:p>
      <w:pPr>
        <w:spacing w:after="0" w:line="11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failure or discontinuation of any of our product development and research programs, or those of our collaborators, competitors or companies perceived to be similar to us;</w:t>
      </w:r>
    </w:p>
    <w:p>
      <w:pPr>
        <w:spacing w:after="0" w:line="5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 candidates from us or our collaborators, our competitors or companies perceived to be similar to us;</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our competitors or companies perceived to be similar to us relating to significant acquisitions, strategic partnerships or alliances,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 or companies perceived to be similar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our collaborators, our competitors or companies perceived to be comparable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limited or withdrawal of coverage by security analysts, or positive or negative recommendations by them;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genome editing or the biopharmaceutical industries;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changing views regarding the use of genomic products, including those that involve genome editing;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any efforts by us to identify, develop, acquire or in-license additional product candidates, products or technologies;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any of our product candidates, or those of our competitors or companies perceived to be similar to us;</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collaboration agreement, licensing agreement or other strategic arrangement or the inability to establish additional strategic arrangements on favorable terms, or at all;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any of our product candidates, or those of our competitors or companies perceived to be similar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hospital, or healthcare provider practices that may make our or our collaborators’ products less useful;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such as products liability, patent or stockholder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common stock;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These factors may have a material adverse effect on the market price and liquidity of our common stock, which may limit or prevent you from readily selling your shares of common stock and may affect our ability to obtain financing or enter into desired strategic relationships.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The Nasdaq Capital Market could result in a delisting of our common stock.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previously disclosed, on April 24, 2023, we received a letter from Nasdaq (the “Nasdaq Notice”) indicating that we were not in compliance with Nasdaq Listing Rule 5450(a)(1) because the closing bid price per share for our common stock was below $1.00 for the previous 30 consecutive business days (the “Minimum Bid Price Requirement”). The Nasdaq Notice provided an initial period of 180 calendar days in which to regain compliance with the Minimum Bid Price Requirement by achieving a minimum bid price per share of our common stock of at least $1.00 for at least 10 consecutive business days.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24, 2023, we received approval from the Listing Qualifications Department of Nasdaq to transfer the listing of our common stock from The Nasdaq Global Select Market to The Nasdaq Capital Market (the “Approval”). Our common stock was transferred to The Nasdaq Capital Market effective as of the open of business on October 26, 2023, and continues to trade under the symbol “DTIL.” The Nasdaq Capital Market operates in substantially the same manner as The Nasdaq Global Select Market, and listed companies must meet certain financial requirements and comply with Nasdaq’s corporate governance requirements. As a result of the Approval and transfer to The Nasdaq Capital Market, we were granted an additional 180-day grace period, or until April 22, 2024, to regain compliance with the Minimum Bid Price Requirement.</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January 18, 2024, our stockholders approved a proposal to amend our amended and restated certificate of incorporation to effect a reverse stock split of our common stock at a ratio of not less than 1-for-10 and not more than 1-for-30, with such ratio and the implementation and timing of such reverse stock split to be determined by our board of directors in its sole discretion. On February 6, 2024, our board of directors approved a 1-for-30 reverse stock split of our issued and outstanding common stock, and on February 13, 2024, we filed with the Secretary of State of the State of Delaware a certificate of amendment to our amended and restated certificate of incorporation in order to effect the reverse stock split. As a result of the reverse stock split, every 30 shares of our common stock issued or outstanding were automatically reclassified into one new share of common stock, and the number of our issued and outstanding shares of common stock was reduced to 4,191,053 and 4,164,038, respectively. Trading of our common stock on The Nasdaq Capital Market commenced on a split-adjusted basis on February 14, 2024. The primary goal of the reverse stock split was to increase the per share market price of our common stock to meet the Minimum Bid Price Requirement. All references to numbers of shares of common stock and per-share information in this Quarterly Report on Form 10-Q have been adjusted retroactively, as appropriate, to reflect the reverse stock split.</w:t>
      </w:r>
    </w:p>
    <w:p>
      <w:pPr>
        <w:spacing w:after="0" w:line="1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March 1, 2024, we were notified by Nasdaq Listing Qualifications that the closing bid price of our common stock had been $1.00 per share or greater for 10 consecutive business days, from February 14, 2024 to February 29, 2024. Accordingly, we have regained compliance with the Minimum Bid Price Requirement. Although we regained compliance with the Minimum Bid Price Requirement, there can be no guarantee that we can continue to remain compliant or that we will be able to maintain compliance with the other Nasdaq listing standards.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Delisting our common stock may make it more difficult for us to raise capital on favorable terms in the future and would likely have a negative effect on the price of our common stock and would impair our stockholders’ ability to sell or purchase our common stock.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Minimum Bid Price Requirement or prevent future non-compliance with Nasdaq’s listing requirements. If for any reason our common stock does not maintain eligibility for listing on Nasdaq, we may list our common stock elsewhere, such as one of the over-the-counter markets, which are generally considered less liquid and more volatile than a national securities exchange, and could mean that certain institutional investors could no longer hold or purchase our stock, and as a result, a purchaser of our common stock may find it more difficult to dispose of, or to obtain accurate quotations as to the price of their shares. This could materially and adversely affect the liquidity of our common stock.</w:t>
      </w:r>
    </w:p>
    <w:p>
      <w:pPr>
        <w:spacing w:after="0" w:line="1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or misleading opinion regarding our common stock, our stock price and trading volume could decline.</w:t>
      </w:r>
    </w:p>
    <w:p>
      <w:pPr>
        <w:spacing w:after="0" w:line="15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securities analysts publish about us or our business. We do not control these analysts. If any of the analysts who cover us issue an adverse or misleading opinion regarding us, our business model, our intellectual property or our stock performance, or if our preclinical studies and operating results fail to meet the expectations of analysts, our stock price would likely decline. If</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one or more of these analysts ceases coverage of us or fails to publish reports on us regularly, we could lose visibility in the financial markets, which in turn could cause our stock price or trading volume to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September 23, 2026, we issued 22,488 shares of our common stock to FON Consulting, LLC (“FON”) for compensatory purposes. The unregistered shares of our common stock had an aggregated fair value of approximately $150,000 as of the date of issuance and were issued to FON in exchange for investor relations services provided to us by FON. The issuance of the shares to FON was not registered under the Securities Act in reliance upon the exemption from registration provided by Section 4(a)(2)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July 10, 2026, Naresh Tanna, who was then serving as our Vice President of Investor Relations and Chief of Staff to our Chief Executive Officer and was appointed as our Chief Financial Officer on July 23, 2026, entered into a trading plan intended to satisfy the affirmative defense conditions under Rule 10b5-1(c). Mr. Tanna’s trading plan provides for the sale of, in the aggregate, up to 24,645 shares of our common stock from August 17, 2026 through September 30, 2027, unless the plan is earlier terminated. The 24,645 share aggregate limit represents the maximum number of shares that may be sold pursuant to Mr. Tanna’s Rule 10b5-1 plan. The actual number of shares sold will be dependent on the satisfaction of certain conditions set forth in the written plan.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31, 2026, Mei Burris, our Chief Accounting Officer, entered into a trading plan intended to satisfy the affirmative defense conditions under Rule 10b5-1(c). Ms. Burris’s trading plan provides for the sale of, in the aggregate, up to 4,115 shares of our common stock from December 1, 2026 through November 30, 2027, unless the plan is earlier terminated. The 4,115 share aggregate limit represents the maximum number of shares that may be sold pursuant to Ms. Burris’s Rule 10b5-1 plan. The actual number of shares sold will be dependent on the satisfaction of certain conditions set forth in the written plan.</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September 4, 2026, Dario Scimeca, our Chief Legal Officer, entered into a trading plan intended to satisfy the affirmative defense conditions under Rule 10b5-1(c). Mr. Scimeca’s trading plan provides for the sale of, in the aggregate, up to 30,350 shares of our common stock from December 4, 2026 through November 30, 2027, unless the plan is earlier terminated. The 30,350 share aggregate limit represents the maximum number of shares that may be sold pursuant to Mr. Scimeca’s Rule 10b5-1 plan. The actual number of shares sold will be dependent on the satisfaction of certain conditions set forth in the written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2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40" w:type="dxa"/>
            <w:vAlign w:val="bottom"/>
            <w:vMerge w:val="restart"/>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96"/>
        </w:trPr>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20" w:type="dxa"/>
            <w:vAlign w:val="bottom"/>
            <w:gridSpan w:val="2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95"/>
        </w:trPr>
        <w:tc>
          <w:tcPr>
            <w:tcW w:w="12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gridSpan w:val="25"/>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Amended and Restated Certificate of</w:t>
              </w:r>
            </w:hyperlink>
          </w:p>
        </w:tc>
        <w:tc>
          <w:tcPr>
            <w:tcW w:w="900" w:type="dxa"/>
            <w:vAlign w:val="bottom"/>
          </w:tcPr>
          <w:p>
            <w:pPr>
              <w:jc w:val="center"/>
              <w:ind w:right="134"/>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001-38841</w:t>
            </w:r>
          </w:p>
        </w:tc>
        <w:tc>
          <w:tcPr>
            <w:tcW w:w="114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7"/>
              </w:rPr>
              <w:t>3.1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4/1/2019</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gridSpan w:val="25"/>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Incorporation of Precision BioSciences,</w:t>
              </w:r>
            </w:hyperlink>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w:t>
              </w:r>
            </w:hyperlink>
          </w:p>
        </w:tc>
        <w:tc>
          <w:tcPr>
            <w:tcW w:w="38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Certificate of Amendment to the Amended</w:t>
              </w:r>
            </w:hyperlink>
          </w:p>
        </w:tc>
        <w:tc>
          <w:tcPr>
            <w:tcW w:w="140" w:type="dxa"/>
            <w:vAlign w:val="bottom"/>
          </w:tcPr>
          <w:p>
            <w:pPr>
              <w:spacing w:after="0"/>
              <w:rPr>
                <w:sz w:val="24"/>
                <w:szCs w:val="24"/>
                <w:color w:val="auto"/>
              </w:rPr>
            </w:pPr>
          </w:p>
        </w:tc>
        <w:tc>
          <w:tcPr>
            <w:tcW w:w="900" w:type="dxa"/>
            <w:vAlign w:val="bottom"/>
          </w:tcPr>
          <w:p>
            <w:pPr>
              <w:jc w:val="center"/>
              <w:ind w:right="134"/>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001-38841</w:t>
            </w:r>
          </w:p>
        </w:tc>
        <w:tc>
          <w:tcPr>
            <w:tcW w:w="114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7"/>
              </w:rPr>
              <w:t>3.1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2/13/2024</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and Restated Certificate of Incorporation</w:t>
              </w:r>
            </w:hyperlink>
          </w:p>
        </w:tc>
        <w:tc>
          <w:tcPr>
            <w:tcW w:w="24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of Precision BioSciences, Inc.</w:t>
              </w:r>
            </w:hyperlink>
          </w:p>
        </w:tc>
        <w:tc>
          <w:tcPr>
            <w:tcW w:w="1080" w:type="dxa"/>
            <w:vAlign w:val="bottom"/>
            <w:gridSpan w:val="20"/>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Certificate of Amendment to the Amended</w:t>
              </w:r>
            </w:hyperlink>
          </w:p>
        </w:tc>
        <w:tc>
          <w:tcPr>
            <w:tcW w:w="140" w:type="dxa"/>
            <w:vAlign w:val="bottom"/>
          </w:tcPr>
          <w:p>
            <w:pPr>
              <w:spacing w:after="0"/>
              <w:rPr>
                <w:sz w:val="24"/>
                <w:szCs w:val="24"/>
                <w:color w:val="auto"/>
              </w:rPr>
            </w:pPr>
          </w:p>
        </w:tc>
        <w:tc>
          <w:tcPr>
            <w:tcW w:w="900" w:type="dxa"/>
            <w:vAlign w:val="bottom"/>
          </w:tcPr>
          <w:p>
            <w:pPr>
              <w:jc w:val="center"/>
              <w:ind w:right="134"/>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001-38841</w:t>
            </w:r>
          </w:p>
        </w:tc>
        <w:tc>
          <w:tcPr>
            <w:tcW w:w="114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7"/>
              </w:rPr>
              <w:t>3.1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5/26/2026</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and Restated Certificate of Incorporation</w:t>
              </w:r>
            </w:hyperlink>
          </w:p>
        </w:tc>
        <w:tc>
          <w:tcPr>
            <w:tcW w:w="24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of Precision BioSciences, Inc.</w:t>
              </w:r>
            </w:hyperlink>
          </w:p>
        </w:tc>
        <w:tc>
          <w:tcPr>
            <w:tcW w:w="1080" w:type="dxa"/>
            <w:vAlign w:val="bottom"/>
            <w:gridSpan w:val="20"/>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gridSpan w:val="2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Amended and Restated Bylaws of</w:t>
              </w:r>
            </w:hyperlink>
          </w:p>
        </w:tc>
        <w:tc>
          <w:tcPr>
            <w:tcW w:w="900" w:type="dxa"/>
            <w:vAlign w:val="bottom"/>
          </w:tcPr>
          <w:p>
            <w:pPr>
              <w:jc w:val="center"/>
              <w:ind w:right="134"/>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001-38841</w:t>
            </w:r>
          </w:p>
        </w:tc>
        <w:tc>
          <w:tcPr>
            <w:tcW w:w="114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7"/>
              </w:rPr>
              <w:t>3.1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12/22/2023</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Precision BioSciences, Inc.</w:t>
              </w:r>
            </w:hyperlink>
          </w:p>
        </w:tc>
        <w:tc>
          <w:tcPr>
            <w:tcW w:w="80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Precision BioSciences, Inc. Non-</w:t>
            </w:r>
          </w:p>
        </w:tc>
        <w:tc>
          <w:tcPr>
            <w:tcW w:w="860" w:type="dxa"/>
            <w:vAlign w:val="bottom"/>
            <w:gridSpan w:val="19"/>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Employee Director Compensation</w:t>
            </w:r>
          </w:p>
        </w:tc>
        <w:tc>
          <w:tcPr>
            <w:tcW w:w="78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Program</w:t>
            </w:r>
          </w:p>
        </w:tc>
        <w:tc>
          <w:tcPr>
            <w:tcW w:w="262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Executive Employment Agreement, dated</w:t>
            </w:r>
          </w:p>
        </w:tc>
        <w:tc>
          <w:tcPr>
            <w:tcW w:w="2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August 1, 2026, by and between Naresh</w:t>
            </w:r>
          </w:p>
        </w:tc>
        <w:tc>
          <w:tcPr>
            <w:tcW w:w="3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Tanna and Precision BioSciences, Inc.</w:t>
            </w: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w:t>
            </w:r>
          </w:p>
        </w:tc>
        <w:tc>
          <w:tcPr>
            <w:tcW w:w="140" w:type="dxa"/>
            <w:vAlign w:val="bottom"/>
            <w:tcBorders>
              <w:top w:val="single" w:sz="8" w:color="0000FF"/>
            </w:tcBorders>
            <w:gridSpan w:val="4"/>
          </w:tcPr>
          <w:p>
            <w:pPr>
              <w:spacing w:after="0"/>
              <w:rPr>
                <w:sz w:val="24"/>
                <w:szCs w:val="24"/>
                <w:color w:val="auto"/>
              </w:rPr>
            </w:pPr>
          </w:p>
        </w:tc>
        <w:tc>
          <w:tcPr>
            <w:tcW w:w="50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Officer Pursuant to Rules 13a-14(a) and</w:t>
            </w:r>
          </w:p>
        </w:tc>
        <w:tc>
          <w:tcPr>
            <w:tcW w:w="3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w:t>
            </w:r>
          </w:p>
        </w:tc>
        <w:tc>
          <w:tcPr>
            <w:tcW w:w="30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1934, as Adopted Pursuant to</w:t>
            </w:r>
          </w:p>
        </w:tc>
        <w:tc>
          <w:tcPr>
            <w:tcW w:w="58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w:t>
            </w: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w:t>
            </w:r>
          </w:p>
        </w:tc>
        <w:tc>
          <w:tcPr>
            <w:tcW w:w="16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under the Securities Exchange Act of</w:t>
            </w:r>
          </w:p>
        </w:tc>
        <w:tc>
          <w:tcPr>
            <w:tcW w:w="380" w:type="dxa"/>
            <w:vAlign w:val="bottom"/>
            <w:tcBorders>
              <w:top w:val="single" w:sz="8" w:color="0000FF"/>
            </w:tcBorders>
            <w:gridSpan w:val="9"/>
          </w:tcPr>
          <w:p>
            <w:pPr>
              <w:spacing w:after="0"/>
              <w:rPr>
                <w:sz w:val="17"/>
                <w:szCs w:val="17"/>
                <w:color w:val="auto"/>
              </w:rPr>
            </w:pPr>
          </w:p>
        </w:tc>
        <w:tc>
          <w:tcPr>
            <w:tcW w:w="18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1934, as Adopted Pursuant to Section 302</w:t>
            </w:r>
          </w:p>
        </w:tc>
        <w:tc>
          <w:tcPr>
            <w:tcW w:w="2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66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w:t>
            </w:r>
          </w:p>
        </w:tc>
        <w:tc>
          <w:tcPr>
            <w:tcW w:w="64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18 U.S.C. Section</w:t>
            </w: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9"/>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1350, as Adopted Pursuant to Section 906</w:t>
            </w:r>
          </w:p>
        </w:tc>
        <w:tc>
          <w:tcPr>
            <w:tcW w:w="2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68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w:t>
            </w:r>
          </w:p>
        </w:tc>
        <w:tc>
          <w:tcPr>
            <w:tcW w:w="16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w:t>
            </w:r>
          </w:p>
        </w:tc>
        <w:tc>
          <w:tcPr>
            <w:tcW w:w="44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FF"/>
        </w:rPr>
        <w:t>Adopted Pursuant to Section 906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FF"/>
        </w:rPr>
        <w:t>Sarbanes-Oxley Act of 2002.</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101.INS</w:t>
            </w: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0"/>
        </w:trPr>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101.SCH</w:t>
            </w: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Schema With Embedded Linkbase</w:t>
            </w:r>
          </w:p>
        </w:tc>
        <w:tc>
          <w:tcPr>
            <w:tcW w:w="338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Documents</w:t>
            </w:r>
          </w:p>
        </w:tc>
        <w:tc>
          <w:tcPr>
            <w:tcW w:w="3380" w:type="dxa"/>
            <w:vAlign w:val="bottom"/>
          </w:tcPr>
          <w:p>
            <w:pPr>
              <w:spacing w:after="0"/>
              <w:rPr>
                <w:sz w:val="20"/>
                <w:szCs w:val="20"/>
                <w:color w:val="auto"/>
              </w:rPr>
            </w:pPr>
          </w:p>
        </w:tc>
      </w:tr>
      <w:tr>
        <w:trPr>
          <w:trHeight w:val="378"/>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104</w:t>
            </w: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1260"/>
        <w:spacing w:after="0"/>
        <w:rPr>
          <w:sz w:val="20"/>
          <w:szCs w:val="20"/>
          <w:color w:val="auto"/>
        </w:rPr>
      </w:pPr>
      <w:r>
        <w:rPr>
          <w:rFonts w:ascii="Times New Roman" w:cs="Times New Roman" w:eastAsia="Times New Roman" w:hAnsi="Times New Roman"/>
          <w:sz w:val="18"/>
          <w:szCs w:val="18"/>
          <w:color w:val="auto"/>
        </w:rPr>
        <w:t>(embedded within the Inline XBRL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document)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17" w:right="11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Precision BioSciences, Inc.</w:t>
      </w:r>
    </w:p>
    <w:p>
      <w:pPr>
        <w:spacing w:after="0" w:line="293" w:lineRule="exact"/>
        <w:rPr>
          <w:sz w:val="20"/>
          <w:szCs w:val="20"/>
          <w:color w:val="auto"/>
        </w:rPr>
      </w:pPr>
    </w:p>
    <w:p>
      <w:pPr>
        <w:ind w:left="20"/>
        <w:spacing w:after="0"/>
        <w:tabs>
          <w:tab w:leader="none" w:pos="5240" w:val="left"/>
          <w:tab w:leader="none" w:pos="768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Amoroso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34290</wp:posOffset>
            </wp:positionV>
            <wp:extent cx="3522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6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Michael Amoroso</w:t>
      </w:r>
    </w:p>
    <w:p>
      <w:pPr>
        <w:spacing w:after="0" w:line="7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3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(principal executive officer and authorized signatory)</w:t>
      </w:r>
    </w:p>
    <w:p>
      <w:pPr>
        <w:spacing w:after="0" w:line="274" w:lineRule="exact"/>
        <w:rPr>
          <w:sz w:val="20"/>
          <w:szCs w:val="20"/>
          <w:color w:val="auto"/>
        </w:rPr>
      </w:pPr>
    </w:p>
    <w:p>
      <w:pPr>
        <w:ind w:left="20"/>
        <w:spacing w:after="0"/>
        <w:tabs>
          <w:tab w:leader="none" w:pos="5240" w:val="left"/>
          <w:tab w:leader="none" w:pos="784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Naresh Tanna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34290</wp:posOffset>
            </wp:positionV>
            <wp:extent cx="3522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6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Naresh Tanna</w:t>
      </w:r>
    </w:p>
    <w:p>
      <w:pPr>
        <w:spacing w:after="0" w:line="7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00"/>
          </w:cols>
          <w:pgMar w:left="320" w:top="117" w:right="37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Precision BioSciences,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Program</w:t>
      </w:r>
    </w:p>
    <w:p>
      <w:pPr>
        <w:spacing w:after="0" w:line="2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Non-employee members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Precision BioSciences,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receive cash and equity compensation as set forth in this Non-Employee Director Compensation Program, as amended from time to time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The cash compensation described in this Program shall be paid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who is entitled to receive such cash compensation, unless such Non-Employee Director declines the receipt of such cash compensation by written notice to the Company. The equity compensation described in this Program shall be subject to further approval by the Board.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Compensation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schedule of annual retainers (the “</w:t>
      </w:r>
      <w:r>
        <w:rPr>
          <w:rFonts w:ascii="Times New Roman" w:cs="Times New Roman" w:eastAsia="Times New Roman" w:hAnsi="Times New Roman"/>
          <w:sz w:val="22"/>
          <w:szCs w:val="22"/>
          <w:b w:val="1"/>
          <w:bCs w:val="1"/>
          <w:i w:val="1"/>
          <w:iCs w:val="1"/>
          <w:color w:val="auto"/>
        </w:rPr>
        <w:t>Annual Retainers</w:t>
      </w:r>
      <w:r>
        <w:rPr>
          <w:rFonts w:ascii="Times New Roman" w:cs="Times New Roman" w:eastAsia="Times New Roman" w:hAnsi="Times New Roman"/>
          <w:sz w:val="22"/>
          <w:szCs w:val="22"/>
          <w:color w:val="auto"/>
        </w:rPr>
        <w:t>”) for the Non-Employee Directors is as follows: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|US-DOCS\173754002.1||</w:t>
      </w:r>
    </w:p>
    <w:p>
      <w:pPr>
        <w:sectPr>
          <w:pgSz w:w="11900" w:h="16838" w:orient="portrait"/>
          <w:cols w:equalWidth="0" w:num="1">
            <w:col w:w="11240"/>
          </w:cols>
          <w:pgMar w:left="320" w:top="122"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850" w:type="dxa"/>
        <w:tblCellMar>
          <w:top w:w="0" w:type="dxa"/>
          <w:left w:w="0" w:type="dxa"/>
          <w:bottom w:w="0" w:type="dxa"/>
          <w:right w:w="0" w:type="dxa"/>
        </w:tblCellMar>
      </w:tblPr>
      <w:tr>
        <w:trPr>
          <w:trHeight w:val="257"/>
        </w:trPr>
        <w:tc>
          <w:tcPr>
            <w:tcW w:w="5900" w:type="dxa"/>
            <w:vAlign w:val="bottom"/>
            <w:tcBorders>
              <w:top w:val="single" w:sz="8" w:color="auto"/>
              <w:left w:val="single" w:sz="8" w:color="auto"/>
              <w:right w:val="single" w:sz="8" w:color="auto"/>
            </w:tcBorders>
            <w:gridSpan w:val="3"/>
            <w:shd w:val="clear" w:color="auto" w:fill="BFBFBF"/>
          </w:tcPr>
          <w:p>
            <w:pPr>
              <w:ind w:left="2580"/>
              <w:spacing w:after="0"/>
              <w:rPr>
                <w:sz w:val="20"/>
                <w:szCs w:val="20"/>
                <w:color w:val="auto"/>
              </w:rPr>
            </w:pPr>
            <w:r>
              <w:rPr>
                <w:rFonts w:ascii="Times New Roman" w:cs="Times New Roman" w:eastAsia="Times New Roman" w:hAnsi="Times New Roman"/>
                <w:sz w:val="22"/>
                <w:szCs w:val="22"/>
                <w:b w:val="1"/>
                <w:bCs w:val="1"/>
                <w:color w:val="auto"/>
              </w:rPr>
              <w:t>Position</w:t>
            </w:r>
          </w:p>
        </w:tc>
        <w:tc>
          <w:tcPr>
            <w:tcW w:w="760" w:type="dxa"/>
            <w:vAlign w:val="bottom"/>
            <w:tcBorders>
              <w:top w:val="single" w:sz="8" w:color="auto"/>
            </w:tcBorders>
            <w:shd w:val="clear" w:color="auto" w:fill="BFBFBF"/>
          </w:tcPr>
          <w:p>
            <w:pPr>
              <w:spacing w:after="0"/>
              <w:rPr>
                <w:sz w:val="22"/>
                <w:szCs w:val="22"/>
                <w:color w:val="auto"/>
              </w:rPr>
            </w:pPr>
          </w:p>
        </w:tc>
        <w:tc>
          <w:tcPr>
            <w:tcW w:w="1560" w:type="dxa"/>
            <w:vAlign w:val="bottom"/>
            <w:tcBorders>
              <w:top w:val="single" w:sz="8" w:color="auto"/>
              <w:right w:val="single" w:sz="8" w:color="auto"/>
            </w:tcBorders>
            <w:gridSpan w:val="2"/>
            <w:shd w:val="clear" w:color="auto" w:fill="BFBFBF"/>
          </w:tcPr>
          <w:p>
            <w:pPr>
              <w:spacing w:after="0"/>
              <w:rPr>
                <w:sz w:val="20"/>
                <w:szCs w:val="20"/>
                <w:color w:val="auto"/>
              </w:rPr>
            </w:pPr>
            <w:r>
              <w:rPr>
                <w:rFonts w:ascii="Times New Roman" w:cs="Times New Roman" w:eastAsia="Times New Roman" w:hAnsi="Times New Roman"/>
                <w:sz w:val="22"/>
                <w:szCs w:val="22"/>
                <w:b w:val="1"/>
                <w:bCs w:val="1"/>
                <w:color w:val="auto"/>
              </w:rPr>
              <w:t>Amount</w:t>
            </w:r>
          </w:p>
        </w:tc>
      </w:tr>
      <w:tr>
        <w:trPr>
          <w:trHeight w:val="263"/>
        </w:trPr>
        <w:tc>
          <w:tcPr>
            <w:tcW w:w="2580" w:type="dxa"/>
            <w:vAlign w:val="bottom"/>
            <w:tcBorders>
              <w:top w:val="single" w:sz="8" w:color="BFBFBF"/>
              <w:left w:val="single" w:sz="8" w:color="auto"/>
              <w:bottom w:val="single" w:sz="8" w:color="auto"/>
            </w:tcBorders>
            <w:shd w:val="clear" w:color="auto" w:fill="BFBFBF"/>
          </w:tcPr>
          <w:p>
            <w:pPr>
              <w:spacing w:after="0"/>
              <w:rPr>
                <w:sz w:val="22"/>
                <w:szCs w:val="22"/>
                <w:color w:val="auto"/>
              </w:rPr>
            </w:pPr>
          </w:p>
        </w:tc>
        <w:tc>
          <w:tcPr>
            <w:tcW w:w="740" w:type="dxa"/>
            <w:vAlign w:val="bottom"/>
            <w:tcBorders>
              <w:top w:val="single" w:sz="8" w:color="auto"/>
              <w:bottom w:val="single" w:sz="8" w:color="auto"/>
            </w:tcBorders>
            <w:shd w:val="clear" w:color="auto" w:fill="BFBFBF"/>
          </w:tcPr>
          <w:p>
            <w:pPr>
              <w:spacing w:after="0"/>
              <w:rPr>
                <w:sz w:val="22"/>
                <w:szCs w:val="22"/>
                <w:color w:val="auto"/>
              </w:rPr>
            </w:pPr>
          </w:p>
        </w:tc>
        <w:tc>
          <w:tcPr>
            <w:tcW w:w="2580" w:type="dxa"/>
            <w:vAlign w:val="bottom"/>
            <w:tcBorders>
              <w:top w:val="single" w:sz="8" w:color="BFBFBF"/>
              <w:bottom w:val="single" w:sz="8" w:color="auto"/>
              <w:right w:val="single" w:sz="8" w:color="auto"/>
            </w:tcBorders>
            <w:shd w:val="clear" w:color="auto" w:fill="BFBFBF"/>
          </w:tcPr>
          <w:p>
            <w:pPr>
              <w:spacing w:after="0"/>
              <w:rPr>
                <w:sz w:val="22"/>
                <w:szCs w:val="22"/>
                <w:color w:val="auto"/>
              </w:rPr>
            </w:pPr>
          </w:p>
        </w:tc>
        <w:tc>
          <w:tcPr>
            <w:tcW w:w="760" w:type="dxa"/>
            <w:vAlign w:val="bottom"/>
            <w:tcBorders>
              <w:top w:val="single" w:sz="8" w:color="BFBFBF"/>
              <w:bottom w:val="single" w:sz="8" w:color="auto"/>
            </w:tcBorders>
            <w:shd w:val="clear" w:color="auto" w:fill="BFBFBF"/>
          </w:tcPr>
          <w:p>
            <w:pPr>
              <w:spacing w:after="0"/>
              <w:rPr>
                <w:sz w:val="22"/>
                <w:szCs w:val="22"/>
                <w:color w:val="auto"/>
              </w:rPr>
            </w:pPr>
          </w:p>
        </w:tc>
        <w:tc>
          <w:tcPr>
            <w:tcW w:w="760" w:type="dxa"/>
            <w:vAlign w:val="bottom"/>
            <w:tcBorders>
              <w:top w:val="single" w:sz="8" w:color="auto"/>
              <w:bottom w:val="single" w:sz="8" w:color="auto"/>
            </w:tcBorders>
            <w:shd w:val="clear" w:color="auto" w:fill="BFBFBF"/>
          </w:tcPr>
          <w:p>
            <w:pPr>
              <w:spacing w:after="0"/>
              <w:rPr>
                <w:sz w:val="22"/>
                <w:szCs w:val="22"/>
                <w:color w:val="auto"/>
              </w:rPr>
            </w:pPr>
          </w:p>
        </w:tc>
        <w:tc>
          <w:tcPr>
            <w:tcW w:w="800" w:type="dxa"/>
            <w:vAlign w:val="bottom"/>
            <w:tcBorders>
              <w:top w:val="single" w:sz="8" w:color="BFBFBF"/>
              <w:bottom w:val="single" w:sz="8" w:color="auto"/>
              <w:right w:val="single" w:sz="8" w:color="auto"/>
            </w:tcBorders>
            <w:shd w:val="clear" w:color="auto" w:fill="BFBFBF"/>
          </w:tcPr>
          <w:p>
            <w:pPr>
              <w:spacing w:after="0"/>
              <w:rPr>
                <w:sz w:val="22"/>
                <w:szCs w:val="22"/>
                <w:color w:val="auto"/>
              </w:rPr>
            </w:pPr>
          </w:p>
        </w:tc>
      </w:tr>
      <w:tr>
        <w:trPr>
          <w:trHeight w:val="289"/>
        </w:trPr>
        <w:tc>
          <w:tcPr>
            <w:tcW w:w="59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Base Board Fee (Non-Chair)</w:t>
            </w:r>
          </w:p>
        </w:tc>
        <w:tc>
          <w:tcPr>
            <w:tcW w:w="7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$40,000</w:t>
            </w:r>
          </w:p>
        </w:tc>
        <w:tc>
          <w:tcPr>
            <w:tcW w:w="7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231"/>
        </w:trPr>
        <w:tc>
          <w:tcPr>
            <w:tcW w:w="2580" w:type="dxa"/>
            <w:vAlign w:val="bottom"/>
            <w:tcBorders>
              <w:left w:val="single" w:sz="8" w:color="auto"/>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r>
      <w:tr>
        <w:trPr>
          <w:trHeight w:val="289"/>
        </w:trPr>
        <w:tc>
          <w:tcPr>
            <w:tcW w:w="59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Base Board Fee (Chair of the Board)</w:t>
            </w:r>
          </w:p>
        </w:tc>
        <w:tc>
          <w:tcPr>
            <w:tcW w:w="7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$72,500</w:t>
            </w:r>
          </w:p>
        </w:tc>
        <w:tc>
          <w:tcPr>
            <w:tcW w:w="7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231"/>
        </w:trPr>
        <w:tc>
          <w:tcPr>
            <w:tcW w:w="2580" w:type="dxa"/>
            <w:vAlign w:val="bottom"/>
            <w:tcBorders>
              <w:left w:val="single" w:sz="8" w:color="auto"/>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r>
      <w:tr>
        <w:trPr>
          <w:trHeight w:val="289"/>
        </w:trPr>
        <w:tc>
          <w:tcPr>
            <w:tcW w:w="59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Chair of Audit Committee</w:t>
            </w:r>
          </w:p>
        </w:tc>
        <w:tc>
          <w:tcPr>
            <w:tcW w:w="7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$15,000</w:t>
            </w:r>
          </w:p>
        </w:tc>
        <w:tc>
          <w:tcPr>
            <w:tcW w:w="7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231"/>
        </w:trPr>
        <w:tc>
          <w:tcPr>
            <w:tcW w:w="2580" w:type="dxa"/>
            <w:vAlign w:val="bottom"/>
            <w:tcBorders>
              <w:left w:val="single" w:sz="8" w:color="auto"/>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r>
      <w:tr>
        <w:trPr>
          <w:trHeight w:val="289"/>
        </w:trPr>
        <w:tc>
          <w:tcPr>
            <w:tcW w:w="59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Chair of Compensation Committee</w:t>
            </w:r>
          </w:p>
        </w:tc>
        <w:tc>
          <w:tcPr>
            <w:tcW w:w="7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$12,250</w:t>
            </w:r>
          </w:p>
        </w:tc>
        <w:tc>
          <w:tcPr>
            <w:tcW w:w="7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231"/>
        </w:trPr>
        <w:tc>
          <w:tcPr>
            <w:tcW w:w="2580" w:type="dxa"/>
            <w:vAlign w:val="bottom"/>
            <w:tcBorders>
              <w:left w:val="single" w:sz="8" w:color="auto"/>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r>
      <w:tr>
        <w:trPr>
          <w:trHeight w:val="289"/>
        </w:trPr>
        <w:tc>
          <w:tcPr>
            <w:tcW w:w="59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Chair of Science &amp; Technology Committee</w:t>
            </w:r>
          </w:p>
        </w:tc>
        <w:tc>
          <w:tcPr>
            <w:tcW w:w="7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$12,250</w:t>
            </w:r>
          </w:p>
        </w:tc>
        <w:tc>
          <w:tcPr>
            <w:tcW w:w="7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231"/>
        </w:trPr>
        <w:tc>
          <w:tcPr>
            <w:tcW w:w="2580" w:type="dxa"/>
            <w:vAlign w:val="bottom"/>
            <w:tcBorders>
              <w:left w:val="single" w:sz="8" w:color="auto"/>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r>
      <w:tr>
        <w:trPr>
          <w:trHeight w:val="263"/>
        </w:trPr>
        <w:tc>
          <w:tcPr>
            <w:tcW w:w="59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Chair of Nominating and Corporate Governance</w:t>
            </w:r>
          </w:p>
        </w:tc>
        <w:tc>
          <w:tcPr>
            <w:tcW w:w="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$8,250</w:t>
            </w:r>
          </w:p>
        </w:tc>
        <w:tc>
          <w:tcPr>
            <w:tcW w:w="76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r>
      <w:tr>
        <w:trPr>
          <w:trHeight w:val="282"/>
        </w:trPr>
        <w:tc>
          <w:tcPr>
            <w:tcW w:w="59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Committee</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231"/>
        </w:trPr>
        <w:tc>
          <w:tcPr>
            <w:tcW w:w="2580" w:type="dxa"/>
            <w:vAlign w:val="bottom"/>
            <w:tcBorders>
              <w:left w:val="single" w:sz="8" w:color="auto"/>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r>
      <w:tr>
        <w:trPr>
          <w:trHeight w:val="289"/>
        </w:trPr>
        <w:tc>
          <w:tcPr>
            <w:tcW w:w="59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Member of Audit Committee (non-Chair)</w:t>
            </w:r>
          </w:p>
        </w:tc>
        <w:tc>
          <w:tcPr>
            <w:tcW w:w="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$7,500</w:t>
            </w:r>
          </w:p>
        </w:tc>
        <w:tc>
          <w:tcPr>
            <w:tcW w:w="7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231"/>
        </w:trPr>
        <w:tc>
          <w:tcPr>
            <w:tcW w:w="2580" w:type="dxa"/>
            <w:vAlign w:val="bottom"/>
            <w:tcBorders>
              <w:left w:val="single" w:sz="8" w:color="auto"/>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r>
      <w:tr>
        <w:trPr>
          <w:trHeight w:val="289"/>
        </w:trPr>
        <w:tc>
          <w:tcPr>
            <w:tcW w:w="59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Member of Compensation Committee (non-Chair)</w:t>
            </w:r>
          </w:p>
        </w:tc>
        <w:tc>
          <w:tcPr>
            <w:tcW w:w="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$6,000</w:t>
            </w:r>
          </w:p>
        </w:tc>
        <w:tc>
          <w:tcPr>
            <w:tcW w:w="7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231"/>
        </w:trPr>
        <w:tc>
          <w:tcPr>
            <w:tcW w:w="2580" w:type="dxa"/>
            <w:vAlign w:val="bottom"/>
            <w:tcBorders>
              <w:left w:val="single" w:sz="8" w:color="auto"/>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r>
      <w:tr>
        <w:trPr>
          <w:trHeight w:val="289"/>
        </w:trPr>
        <w:tc>
          <w:tcPr>
            <w:tcW w:w="59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Member of Science &amp; Technology Committee (non-Chair)</w:t>
            </w:r>
          </w:p>
        </w:tc>
        <w:tc>
          <w:tcPr>
            <w:tcW w:w="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$6,000</w:t>
            </w:r>
          </w:p>
        </w:tc>
        <w:tc>
          <w:tcPr>
            <w:tcW w:w="7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231"/>
        </w:trPr>
        <w:tc>
          <w:tcPr>
            <w:tcW w:w="2580" w:type="dxa"/>
            <w:vAlign w:val="bottom"/>
            <w:tcBorders>
              <w:left w:val="single" w:sz="8" w:color="auto"/>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r>
      <w:tr>
        <w:trPr>
          <w:trHeight w:val="263"/>
        </w:trPr>
        <w:tc>
          <w:tcPr>
            <w:tcW w:w="59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Member of Nominating and Corporate Governance</w:t>
            </w:r>
          </w:p>
        </w:tc>
        <w:tc>
          <w:tcPr>
            <w:tcW w:w="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$4,500</w:t>
            </w:r>
          </w:p>
        </w:tc>
        <w:tc>
          <w:tcPr>
            <w:tcW w:w="76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r>
      <w:tr>
        <w:trPr>
          <w:trHeight w:val="282"/>
        </w:trPr>
        <w:tc>
          <w:tcPr>
            <w:tcW w:w="59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Committee (non-Chair)</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231"/>
        </w:trPr>
        <w:tc>
          <w:tcPr>
            <w:tcW w:w="2580" w:type="dxa"/>
            <w:vAlign w:val="bottom"/>
            <w:tcBorders>
              <w:left w:val="single" w:sz="8" w:color="auto"/>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3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For the avoidance of doubt, the Annual Retainers in the table above are additive and a Non-Employee Director shall be eligible to earn an Annual Retainer for each position in which he or she serves; provided that, the Chair of the Board shall be eligible to receive the Base Board Fee for Chair of the Board as set forth in the table above, and shall not also receive the Base Board Fee for non-Chair members of the Board. The Annual Retainers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 for an entire calendar quarter, the retainer paid to such Non-Employee Director shall be prorated for the portion of such calendar quarter actually served as a Non-Employee Director, or in such position, as applicable.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2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Each Non-Employee Director shall be granted the equity awards described below; provided that, from time to time, the Board may determine to adjust the terms of such equity awards or to grant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|US-DOCS\173754002.1||</w:t>
      </w:r>
    </w:p>
    <w:p>
      <w:pPr>
        <w:sectPr>
          <w:pgSz w:w="11900" w:h="16838" w:orient="portrait"/>
          <w:cols w:equalWidth="0" w:num="1">
            <w:col w:w="11240"/>
          </w:cols>
          <w:pgMar w:left="320" w:top="122" w:right="339" w:bottom="1440" w:gutter="0" w:footer="0" w:header="0"/>
          <w:type w:val="continuous"/>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different types of equity awards than those described below without a further amendment or modification to the terms of this Program. Each equity award shall be granted under and subject to the terms and provisions of the Company’s 2019 Incentive Award Plan or any other applicable Company equity incentive plan then-maintained by the Company (the “</w:t>
      </w:r>
      <w:r>
        <w:rPr>
          <w:rFonts w:ascii="Times New Roman" w:cs="Times New Roman" w:eastAsia="Times New Roman" w:hAnsi="Times New Roman"/>
          <w:sz w:val="21"/>
          <w:szCs w:val="21"/>
          <w:b w:val="1"/>
          <w:bCs w:val="1"/>
          <w:i w:val="1"/>
          <w:iCs w:val="1"/>
          <w:color w:val="auto"/>
        </w:rPr>
        <w:t>Equity Plan</w:t>
      </w:r>
      <w:r>
        <w:rPr>
          <w:rFonts w:ascii="Times New Roman" w:cs="Times New Roman" w:eastAsia="Times New Roman" w:hAnsi="Times New Roman"/>
          <w:sz w:val="21"/>
          <w:szCs w:val="21"/>
          <w:color w:val="auto"/>
        </w:rPr>
        <w:t>”) and shall be subject to an award agreement, including attached exhibits, in substantially the form previously approved by the Board.</w:t>
      </w:r>
    </w:p>
    <w:p>
      <w:pPr>
        <w:spacing w:after="0" w:line="161" w:lineRule="exact"/>
        <w:rPr>
          <w:sz w:val="20"/>
          <w:szCs w:val="20"/>
          <w:color w:val="auto"/>
        </w:rPr>
      </w:pPr>
    </w:p>
    <w:p>
      <w:pPr>
        <w:jc w:val="both"/>
        <w:ind w:firstLine="874"/>
        <w:spacing w:after="0" w:line="260" w:lineRule="auto"/>
        <w:tabs>
          <w:tab w:leader="none" w:pos="130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Award</w:t>
      </w:r>
      <w:r>
        <w:rPr>
          <w:rFonts w:ascii="Times New Roman" w:cs="Times New Roman" w:eastAsia="Times New Roman" w:hAnsi="Times New Roman"/>
          <w:sz w:val="21"/>
          <w:szCs w:val="21"/>
          <w:color w:val="auto"/>
        </w:rPr>
        <w:t>. Each Non-Employee Director who is initially elected or appointed to the Board shall be granted, on the date of such initial election or appointment, either (i) an option to purchase the Company’s common stock (each, an “</w:t>
      </w:r>
      <w:r>
        <w:rPr>
          <w:rFonts w:ascii="Times New Roman" w:cs="Times New Roman" w:eastAsia="Times New Roman" w:hAnsi="Times New Roman"/>
          <w:sz w:val="21"/>
          <w:szCs w:val="21"/>
          <w:b w:val="1"/>
          <w:bCs w:val="1"/>
          <w:i w:val="1"/>
          <w:iCs w:val="1"/>
          <w:color w:val="auto"/>
        </w:rPr>
        <w:t>Initial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Option</w:t>
      </w:r>
      <w:r>
        <w:rPr>
          <w:rFonts w:ascii="Times New Roman" w:cs="Times New Roman" w:eastAsia="Times New Roman" w:hAnsi="Times New Roman"/>
          <w:sz w:val="21"/>
          <w:szCs w:val="21"/>
          <w:color w:val="auto"/>
        </w:rPr>
        <w:t>”) having an aggregate Grant Date Fair Value (as defined below) in an amount determined by the Board, with any partial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shares that result being rounded down to the nearest whole share or (ii) a number of restricted stock units (the “</w:t>
      </w:r>
      <w:r>
        <w:rPr>
          <w:rFonts w:ascii="Times New Roman" w:cs="Times New Roman" w:eastAsia="Times New Roman" w:hAnsi="Times New Roman"/>
          <w:sz w:val="21"/>
          <w:szCs w:val="21"/>
          <w:b w:val="1"/>
          <w:bCs w:val="1"/>
          <w:i w:val="1"/>
          <w:iCs w:val="1"/>
          <w:color w:val="auto"/>
        </w:rPr>
        <w:t>Initial RSUs</w:t>
      </w:r>
      <w:r>
        <w:rPr>
          <w:rFonts w:ascii="Times New Roman" w:cs="Times New Roman" w:eastAsia="Times New Roman" w:hAnsi="Times New Roman"/>
          <w:sz w:val="21"/>
          <w:szCs w:val="21"/>
          <w:color w:val="auto"/>
        </w:rPr>
        <w:t>” and together with the Initial Option, the “</w:t>
      </w:r>
      <w:r>
        <w:rPr>
          <w:rFonts w:ascii="Times New Roman" w:cs="Times New Roman" w:eastAsia="Times New Roman" w:hAnsi="Times New Roman"/>
          <w:sz w:val="21"/>
          <w:szCs w:val="21"/>
          <w:b w:val="1"/>
          <w:bCs w:val="1"/>
          <w:i w:val="1"/>
          <w:iCs w:val="1"/>
          <w:color w:val="auto"/>
        </w:rPr>
        <w:t>Initial Award</w:t>
      </w:r>
      <w:r>
        <w:rPr>
          <w:rFonts w:ascii="Times New Roman" w:cs="Times New Roman" w:eastAsia="Times New Roman" w:hAnsi="Times New Roman"/>
          <w:sz w:val="21"/>
          <w:szCs w:val="21"/>
          <w:color w:val="auto"/>
        </w:rPr>
        <w:t>”) determined by dividing the aggregate value of the Initial RSUs as determined by the Board by the Fair Market Value (as defined in the Equity Plan) of a share of the Company’s common stock on the date of grant, with any partial shares that result being rounded down to the nearest whole share. No Non-Employee Director shall be granted more than one Initial Award. “</w:t>
      </w:r>
      <w:r>
        <w:rPr>
          <w:rFonts w:ascii="Times New Roman" w:cs="Times New Roman" w:eastAsia="Times New Roman" w:hAnsi="Times New Roman"/>
          <w:sz w:val="21"/>
          <w:szCs w:val="21"/>
          <w:b w:val="1"/>
          <w:bCs w:val="1"/>
          <w:i w:val="1"/>
          <w:iCs w:val="1"/>
          <w:color w:val="auto"/>
        </w:rPr>
        <w:t>Grant Date Fair Value</w:t>
      </w:r>
      <w:r>
        <w:rPr>
          <w:rFonts w:ascii="Times New Roman" w:cs="Times New Roman" w:eastAsia="Times New Roman" w:hAnsi="Times New Roman"/>
          <w:sz w:val="21"/>
          <w:szCs w:val="21"/>
          <w:color w:val="auto"/>
        </w:rPr>
        <w:t>” shall mean, with respect to an Initial Option, the per share fair value of the Initial Option determined as of the Initial Option’s date of grant using the Black-Scholes option pricing model that the Company most recently used in preparing its (audited or unaudited) consolidated financial statements that have been filed with the Securities Exchange Commission (“</w:t>
      </w:r>
      <w:r>
        <w:rPr>
          <w:rFonts w:ascii="Times New Roman" w:cs="Times New Roman" w:eastAsia="Times New Roman" w:hAnsi="Times New Roman"/>
          <w:sz w:val="21"/>
          <w:szCs w:val="21"/>
          <w:b w:val="1"/>
          <w:bCs w:val="1"/>
          <w:i w:val="1"/>
          <w:iCs w:val="1"/>
          <w:color w:val="auto"/>
        </w:rPr>
        <w:t>Financial Statements</w:t>
      </w:r>
      <w:r>
        <w:rPr>
          <w:rFonts w:ascii="Times New Roman" w:cs="Times New Roman" w:eastAsia="Times New Roman" w:hAnsi="Times New Roman"/>
          <w:sz w:val="21"/>
          <w:szCs w:val="21"/>
          <w:color w:val="auto"/>
        </w:rPr>
        <w:t>”) and using as inputs into such model (i) the Fair Market Value of a share of the Company’s common stock on the Initial Option’s date of grant and (ii) such other assumptions as were reported by the Company in the Financial Statements for the most recent period covered by the Financial Statements (and if any such assumptions were reported as a range of values, using the arithmetic mean of the reported values).</w:t>
      </w:r>
    </w:p>
    <w:p>
      <w:pPr>
        <w:spacing w:after="0" w:line="171" w:lineRule="exact"/>
        <w:rPr>
          <w:rFonts w:ascii="Times New Roman" w:cs="Times New Roman" w:eastAsia="Times New Roman" w:hAnsi="Times New Roman"/>
          <w:sz w:val="21"/>
          <w:szCs w:val="21"/>
          <w:color w:val="auto"/>
        </w:rPr>
      </w:pPr>
    </w:p>
    <w:p>
      <w:pPr>
        <w:jc w:val="both"/>
        <w:ind w:firstLine="892"/>
        <w:spacing w:after="0" w:line="250" w:lineRule="auto"/>
        <w:tabs>
          <w:tab w:leader="none" w:pos="131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RSUs</w:t>
      </w:r>
      <w:r>
        <w:rPr>
          <w:rFonts w:ascii="Times New Roman" w:cs="Times New Roman" w:eastAsia="Times New Roman" w:hAnsi="Times New Roman"/>
          <w:sz w:val="22"/>
          <w:szCs w:val="22"/>
          <w:color w:val="auto"/>
        </w:rPr>
        <w:t>. A Non-Employee Director who (i) has been serving as a Non-Employee Director on the Board for at least six months as of the date of an annual meeting of the Company’s stockholders (the “</w:t>
      </w:r>
      <w:r>
        <w:rPr>
          <w:rFonts w:ascii="Times New Roman" w:cs="Times New Roman" w:eastAsia="Times New Roman" w:hAnsi="Times New Roman"/>
          <w:sz w:val="22"/>
          <w:szCs w:val="22"/>
          <w:b w:val="1"/>
          <w:bCs w:val="1"/>
          <w:i w:val="1"/>
          <w:iCs w:val="1"/>
          <w:color w:val="auto"/>
        </w:rPr>
        <w:t>Subject Meeting</w:t>
      </w:r>
      <w:r>
        <w:rPr>
          <w:rFonts w:ascii="Times New Roman" w:cs="Times New Roman" w:eastAsia="Times New Roman" w:hAnsi="Times New Roman"/>
          <w:sz w:val="22"/>
          <w:szCs w:val="22"/>
          <w:color w:val="auto"/>
        </w:rPr>
        <w:t>”) and (ii) will continue to serve as a Non-Employee Director immediately following such Subject Meeting, shall be granted, on the date of such Subject Meeting, unless otherwise determined by the Board, a number of restricted stock units (the “</w:t>
      </w:r>
      <w:r>
        <w:rPr>
          <w:rFonts w:ascii="Times New Roman" w:cs="Times New Roman" w:eastAsia="Times New Roman" w:hAnsi="Times New Roman"/>
          <w:sz w:val="22"/>
          <w:szCs w:val="22"/>
          <w:b w:val="1"/>
          <w:bCs w:val="1"/>
          <w:i w:val="1"/>
          <w:iCs w:val="1"/>
          <w:color w:val="auto"/>
        </w:rPr>
        <w:t>Annual RSUs</w:t>
      </w:r>
      <w:r>
        <w:rPr>
          <w:rFonts w:ascii="Times New Roman" w:cs="Times New Roman" w:eastAsia="Times New Roman" w:hAnsi="Times New Roman"/>
          <w:sz w:val="22"/>
          <w:szCs w:val="22"/>
          <w:color w:val="auto"/>
        </w:rPr>
        <w:t>”) determined by dividing the aggregate value of the Annual RSUs as determined by the Board by the Fair Market Value of a share of the Company’s common stock on the date of grant, with any partial shares that result being rounded down to the nearest whole share. For the avoidance of doubt, a Non-Employee Director elected for the first time to the Board at a Subject Meeting shall only receive an Initial Award in connection with such election, and shall not receive any Annual RSUs for such Subject Meeting as well.</w:t>
      </w:r>
    </w:p>
    <w:p>
      <w:pPr>
        <w:spacing w:after="0" w:line="206" w:lineRule="exact"/>
        <w:rPr>
          <w:rFonts w:ascii="Times New Roman" w:cs="Times New Roman" w:eastAsia="Times New Roman" w:hAnsi="Times New Roman"/>
          <w:sz w:val="22"/>
          <w:szCs w:val="22"/>
          <w:color w:val="auto"/>
        </w:rPr>
      </w:pPr>
    </w:p>
    <w:p>
      <w:pPr>
        <w:jc w:val="both"/>
        <w:ind w:firstLine="912"/>
        <w:spacing w:after="0" w:line="257" w:lineRule="auto"/>
        <w:tabs>
          <w:tab w:leader="none" w:pos="135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Approval and Determination of Value</w:t>
      </w:r>
      <w:r>
        <w:rPr>
          <w:rFonts w:ascii="Times New Roman" w:cs="Times New Roman" w:eastAsia="Times New Roman" w:hAnsi="Times New Roman"/>
          <w:sz w:val="22"/>
          <w:szCs w:val="22"/>
          <w:color w:val="auto"/>
        </w:rPr>
        <w:t>. Prior to or contemporaneous with the grant of any Initial Award or Annual RSUs, the Board shall determine the value of such equity award after taking into consideration the 50th percentile of market compensation for non-employee directors of the Company’s peer group and such other factors as the Board considers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|US-DOCS\173754002.1||</w:t>
      </w:r>
    </w:p>
    <w:p>
      <w:pPr>
        <w:sectPr>
          <w:pgSz w:w="11900" w:h="16838" w:orient="portrait"/>
          <w:cols w:equalWidth="0" w:num="1">
            <w:col w:w="11240"/>
          </w:cols>
          <w:pgMar w:left="320" w:top="122" w:right="339" w:bottom="1440" w:gutter="0" w:footer="0" w:header="0"/>
        </w:sectPr>
      </w:pPr>
    </w:p>
    <w:bookmarkStart w:id="96" w:name="page97"/>
    <w:bookmarkEnd w:id="96"/>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appropriate. Each grant of an Initial Award and Annual RSU award shall be subject to further approval by the Board.</w:t>
      </w:r>
    </w:p>
    <w:p>
      <w:pPr>
        <w:spacing w:after="0" w:line="260" w:lineRule="exact"/>
        <w:rPr>
          <w:sz w:val="20"/>
          <w:szCs w:val="20"/>
          <w:color w:val="auto"/>
        </w:rPr>
      </w:pPr>
    </w:p>
    <w:p>
      <w:pPr>
        <w:jc w:val="both"/>
        <w:ind w:firstLine="1304"/>
        <w:spacing w:after="0" w:line="253" w:lineRule="auto"/>
        <w:tabs>
          <w:tab w:leader="none" w:pos="187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of Employee Directors</w:t>
      </w:r>
      <w:r>
        <w:rPr>
          <w:rFonts w:ascii="Times New Roman" w:cs="Times New Roman" w:eastAsia="Times New Roman" w:hAnsi="Times New Roman"/>
          <w:sz w:val="22"/>
          <w:szCs w:val="22"/>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but to the extent that they are otherwise entitled, will receive, after termination of employment with the Company and any parent or subsidiary of the Company, Annual RSUs.</w:t>
      </w:r>
    </w:p>
    <w:p>
      <w:pPr>
        <w:spacing w:after="0" w:line="178" w:lineRule="exact"/>
        <w:rPr>
          <w:rFonts w:ascii="Times New Roman" w:cs="Times New Roman" w:eastAsia="Times New Roman" w:hAnsi="Times New Roman"/>
          <w:sz w:val="22"/>
          <w:szCs w:val="22"/>
          <w:color w:val="auto"/>
        </w:rPr>
      </w:pPr>
    </w:p>
    <w:p>
      <w:pPr>
        <w:ind w:left="1700" w:hanging="396"/>
        <w:spacing w:after="0"/>
        <w:tabs>
          <w:tab w:leader="none" w:pos="17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Equity Awards Granted to Non-Employee Directors.</w:t>
      </w:r>
    </w:p>
    <w:p>
      <w:pPr>
        <w:spacing w:after="0" w:line="229" w:lineRule="exact"/>
        <w:rPr>
          <w:sz w:val="20"/>
          <w:szCs w:val="20"/>
          <w:color w:val="auto"/>
        </w:rPr>
      </w:pPr>
    </w:p>
    <w:p>
      <w:pPr>
        <w:jc w:val="both"/>
        <w:ind w:firstLine="1148"/>
        <w:spacing w:after="0" w:line="259" w:lineRule="auto"/>
        <w:tabs>
          <w:tab w:leader="none" w:pos="160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The per-share exercise price of each Initial Award granted to a Non-Employee Director that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Initial Option shall equal the Fair Market Value of a share of the Company’s common stock on the date the Initial Option is granted.</w:t>
      </w:r>
    </w:p>
    <w:p>
      <w:pPr>
        <w:spacing w:after="0" w:line="166" w:lineRule="exact"/>
        <w:rPr>
          <w:rFonts w:ascii="Times New Roman" w:cs="Times New Roman" w:eastAsia="Times New Roman" w:hAnsi="Times New Roman"/>
          <w:sz w:val="22"/>
          <w:szCs w:val="22"/>
          <w:color w:val="auto"/>
        </w:rPr>
      </w:pPr>
    </w:p>
    <w:p>
      <w:pPr>
        <w:ind w:left="1460" w:hanging="372"/>
        <w:spacing w:after="0"/>
        <w:tabs>
          <w:tab w:leader="none" w:pos="14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088"/>
        <w:spacing w:after="0" w:line="252" w:lineRule="auto"/>
        <w:tabs>
          <w:tab w:leader="none" w:pos="1512" w:val="left"/>
        </w:tabs>
        <w:numPr>
          <w:ilvl w:val="1"/>
          <w:numId w:val="5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Initial Awards</w:t>
      </w:r>
      <w:r>
        <w:rPr>
          <w:rFonts w:ascii="Times New Roman" w:cs="Times New Roman" w:eastAsia="Times New Roman" w:hAnsi="Times New Roman"/>
          <w:sz w:val="22"/>
          <w:szCs w:val="22"/>
          <w:color w:val="auto"/>
        </w:rPr>
        <w:t>. Each Initial Award that is an Initial Option shall vest and become exercisable in thirty-six (36)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substantially equal monthly installments following the date of grant, such that the Initial Option shall be fully vested on the third anniversary of the date of grant, subject to the Non-Employee Director continuing in service as a Non-Employee Director through each such vesting date. Each Initial Award that is an Initial RSU shall vest in twelve (12) substantially equal quarterly installments following the date of grant, such that the Initial RSUs shall be fully vested on the third anniversary of the date of grant, subject to the Non-Employee Director continuing in service as a Non-Employee Director through each such vesting date.</w:t>
      </w:r>
    </w:p>
    <w:p>
      <w:pPr>
        <w:spacing w:after="0" w:line="174" w:lineRule="exact"/>
        <w:rPr>
          <w:rFonts w:ascii="Times New Roman" w:cs="Times New Roman" w:eastAsia="Times New Roman" w:hAnsi="Times New Roman"/>
          <w:sz w:val="22"/>
          <w:szCs w:val="22"/>
          <w:i w:val="1"/>
          <w:iCs w:val="1"/>
          <w:color w:val="auto"/>
        </w:rPr>
      </w:pPr>
    </w:p>
    <w:p>
      <w:pPr>
        <w:jc w:val="both"/>
        <w:ind w:firstLine="958"/>
        <w:spacing w:after="0" w:line="258" w:lineRule="auto"/>
        <w:tabs>
          <w:tab w:leader="none" w:pos="135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RSUs</w:t>
      </w:r>
      <w:r>
        <w:rPr>
          <w:rFonts w:ascii="Times New Roman" w:cs="Times New Roman" w:eastAsia="Times New Roman" w:hAnsi="Times New Roman"/>
          <w:sz w:val="22"/>
          <w:szCs w:val="22"/>
          <w:color w:val="auto"/>
        </w:rPr>
        <w:t>. Each award of Annual RSUs shall vest on the earlier of the first anniversary of the date of grant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day immediately prior to the date of the next annual meeting of the Company’s stockholders occurring after the date of the Subject Meeting, in either case, subject to the Non-Employee Director continuing in service as a Non-Employee Director through such vesting date.</w:t>
      </w:r>
    </w:p>
    <w:p>
      <w:pPr>
        <w:spacing w:after="0" w:line="167" w:lineRule="exact"/>
        <w:rPr>
          <w:rFonts w:ascii="Times New Roman" w:cs="Times New Roman" w:eastAsia="Times New Roman" w:hAnsi="Times New Roman"/>
          <w:sz w:val="22"/>
          <w:szCs w:val="22"/>
          <w:color w:val="auto"/>
        </w:rPr>
      </w:pPr>
    </w:p>
    <w:p>
      <w:pPr>
        <w:jc w:val="both"/>
        <w:ind w:firstLine="980"/>
        <w:spacing w:after="0" w:line="252" w:lineRule="auto"/>
        <w:tabs>
          <w:tab w:leader="none" w:pos="136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Forfeiture of Equity Awards</w:t>
      </w:r>
      <w:r>
        <w:rPr>
          <w:rFonts w:ascii="Times New Roman" w:cs="Times New Roman" w:eastAsia="Times New Roman" w:hAnsi="Times New Roman"/>
          <w:sz w:val="22"/>
          <w:szCs w:val="22"/>
          <w:color w:val="auto"/>
        </w:rPr>
        <w:t>. Unless the Board otherwise determines, any portion of an Initial Award or award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Annual RSUs which is unvested or, as applicable, unexercisable at the time of a Non-Employee Director’s termination of service on the Board as a Non-Employee Director shall be immediately forfeited upon such termination of service and shall not thereafter become vested and, as applicable, exercisable. All of a Non-Employee Director’s Initial Award and Annual RSUs shall vest in full immediately prior to the occurrence of a Change in Control (as defined in the Equity Plan), to the extent outstanding or unvested at such time.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|US-DOCS\173754002.1||</w:t>
      </w:r>
    </w:p>
    <w:p>
      <w:pPr>
        <w:sectPr>
          <w:pgSz w:w="11900" w:h="16838" w:orient="portrait"/>
          <w:cols w:equalWidth="0" w:num="1">
            <w:col w:w="11240"/>
          </w:cols>
          <w:pgMar w:left="320" w:top="122"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1952"/>
        <w:spacing w:after="0" w:line="275" w:lineRule="auto"/>
        <w:tabs>
          <w:tab w:leader="none" w:pos="232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The maximum term of each Initial Award granted to a Non-Employee Director hereunder that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Initial Option shall be ten (10) years from the date the Initial Option is granted.</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Notwithstanding anything in this Program to the contrary, the sum of any cash compensation, or other compensation, and the value (determined as of the grant date in accordance with Financial Accounting Standards Board Accounting Standards Codification Topic 718, or any successor thereto) of equity awards granted to a Non-Employee Director as compensation for services as a Non-Employee Director during any fiscal year of the Company may not exceed $750,000 (the “</w:t>
      </w:r>
      <w:r>
        <w:rPr>
          <w:rFonts w:ascii="Times New Roman" w:cs="Times New Roman" w:eastAsia="Times New Roman" w:hAnsi="Times New Roman"/>
          <w:sz w:val="22"/>
          <w:szCs w:val="22"/>
          <w:b w:val="1"/>
          <w:bCs w:val="1"/>
          <w:i w:val="1"/>
          <w:iCs w:val="1"/>
          <w:color w:val="auto"/>
        </w:rPr>
        <w:t>NED Limit</w:t>
      </w:r>
      <w:r>
        <w:rPr>
          <w:rFonts w:ascii="Times New Roman" w:cs="Times New Roman" w:eastAsia="Times New Roman" w:hAnsi="Times New Roman"/>
          <w:sz w:val="22"/>
          <w:szCs w:val="22"/>
          <w:color w:val="auto"/>
        </w:rPr>
        <w:t>”). The NED Limit shall be applied to reduce compensation in the following order: (A) reduction in any Initial Award granted during such year; (B) reduction in any Annual RSUs granted during such year; (C) reduction on a pro-rata basis of any cash or other compensation, payments or benefits that are exempt from Section 409A of the Internal Revenue Code of 1986, as amended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and (D) reduction of any cash or other compensation, payments or benefits otherwise payable to the Non-Employee Director on a pro-rata basis or such other manner that complies with Section 409A. The Board may make exceptions to the NED Limit in extraordinary circumstances, as the Board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September 15, 2026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|US-DOCS\173754002.1||</w:t>
      </w:r>
    </w:p>
    <w:p>
      <w:pPr>
        <w:sectPr>
          <w:pgSz w:w="11900" w:h="16838" w:orient="portrait"/>
          <w:cols w:equalWidth="0" w:num="1">
            <w:col w:w="11240"/>
          </w:cols>
          <w:pgMar w:left="320" w:top="122"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2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This Executive Employment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this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day of August,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Precision BioSciences,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Naresh Tanna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The Company and Executive are sometimes referred to in this Agreement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Company wishes to continue to employ Executive on the terms set forth in this Agreement, and Executive wishes to accept such employment on the same terms.</w:t>
      </w:r>
    </w:p>
    <w:p>
      <w:pPr>
        <w:spacing w:after="0" w:line="158" w:lineRule="exact"/>
        <w:rPr>
          <w:sz w:val="20"/>
          <w:szCs w:val="20"/>
          <w:color w:val="auto"/>
        </w:rPr>
      </w:pPr>
    </w:p>
    <w:p>
      <w:pPr>
        <w:jc w:val="both"/>
        <w:ind w:firstLine="357"/>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foregoing, of the mutual promises herein, and of other good and valuable consideration, the receipt and sufficiency of which are hereby acknowledged, the parties hereto, intending legally to be bound, hereby agree as follows:</w:t>
      </w:r>
    </w:p>
    <w:p>
      <w:pPr>
        <w:spacing w:after="0" w:line="136" w:lineRule="exact"/>
        <w:rPr>
          <w:sz w:val="20"/>
          <w:szCs w:val="20"/>
          <w:color w:val="auto"/>
        </w:rPr>
      </w:pPr>
    </w:p>
    <w:p>
      <w:pPr>
        <w:jc w:val="both"/>
        <w:ind w:firstLine="656"/>
        <w:spacing w:after="0" w:line="227" w:lineRule="auto"/>
        <w:tabs>
          <w:tab w:leader="none" w:pos="129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Effective Date, the Company hereby promotes Executive to the role of Senior 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President, Chief Financial Officer of the Company upon the terms and conditions of this Agreement and Executive accepts continued employment with the Company upon the terms and conditions of this Agreement.</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EMPLOYMENT/DUTIES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serve as Senior Vice President, Chief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of the Company and shall have such responsibilities and authority as the Company may designate from time to time consistent with Executive’s title and position.</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color w:val="auto"/>
        </w:rPr>
        <w:t>Executive shall perform all duties and exercise all authority in accordance with, and otherwise comply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all Company policies, procedures, practices and directions.</w:t>
      </w:r>
    </w:p>
    <w:p>
      <w:pPr>
        <w:spacing w:after="0" w:line="146" w:lineRule="exact"/>
        <w:rPr>
          <w:sz w:val="20"/>
          <w:szCs w:val="20"/>
          <w:color w:val="auto"/>
        </w:rPr>
      </w:pPr>
    </w:p>
    <w:p>
      <w:pPr>
        <w:jc w:val="both"/>
        <w:ind w:firstLine="1296"/>
        <w:spacing w:after="0" w:line="228" w:lineRule="auto"/>
        <w:rPr>
          <w:sz w:val="20"/>
          <w:szCs w:val="20"/>
          <w:color w:val="auto"/>
        </w:rPr>
      </w:pPr>
      <w:r>
        <w:rPr>
          <w:rFonts w:ascii="Times New Roman" w:cs="Times New Roman" w:eastAsia="Times New Roman" w:hAnsi="Times New Roman"/>
          <w:sz w:val="21"/>
          <w:szCs w:val="21"/>
          <w:b w:val="1"/>
          <w:bCs w:val="1"/>
          <w:color w:val="auto"/>
        </w:rPr>
        <w:t xml:space="preserve">2.2 </w:t>
      </w:r>
      <w:r>
        <w:rPr>
          <w:rFonts w:ascii="Times New Roman" w:cs="Times New Roman" w:eastAsia="Times New Roman" w:hAnsi="Times New Roman"/>
          <w:sz w:val="21"/>
          <w:szCs w:val="21"/>
          <w:color w:val="auto"/>
        </w:rPr>
        <w:t>Executive shall devote substantially all working time, best efforts, knowledge and experience to perform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successfully Executive’s duties and advance the Company’s interests. During Executive’s employment, Executive may, with the Board’s consent (which shall not be unreasonably withheld), engage in other business activities for compensation (including board memberships), provided that, such activities do not present a conflict of interest nor violate the Restrictive Covenant Agreement (defined in Section 6), nor otherwise prohibit Executive from fulfilling Executive’s obligations hereunder.</w:t>
      </w:r>
    </w:p>
    <w:p>
      <w:pPr>
        <w:spacing w:after="0" w:line="392"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b w:val="1"/>
          <w:bCs w:val="1"/>
          <w:u w:val="single" w:color="auto"/>
          <w:color w:val="auto"/>
        </w:rPr>
        <w:t>Base 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Executive’s annual base salary for all services rendered shall be four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hundred thousand and 00/100 Dollars ($400,000.00) (less applicable taxes and withholdings) payable in accordance with the Company’s payroll practices as they may exist from time to time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Base Salary may be reviewed and adjusted by the Company, at its discretion, in accordance with the Company’s policies, procedures, and practices as they may exist from time to time, provided that the Base Salary shall not be</w:t>
      </w:r>
    </w:p>
    <w:p>
      <w:pPr>
        <w:sectPr>
          <w:pgSz w:w="11900" w:h="16838" w:orient="portrait"/>
          <w:cols w:equalWidth="0" w:num="1">
            <w:col w:w="11240"/>
          </w:cols>
          <w:pgMar w:left="320" w:top="365" w:right="339" w:bottom="1440" w:gutter="0" w:footer="0" w:header="0"/>
        </w:sectPr>
      </w:pPr>
    </w:p>
    <w:bookmarkStart w:id="99" w:name="page100"/>
    <w:bookmarkEnd w:id="99"/>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decreased unless the decrease is an across-the-board decrease for all senior management employees of the Company.</w:t>
      </w:r>
    </w:p>
    <w:p>
      <w:pPr>
        <w:spacing w:after="0" w:line="175"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b w:val="1"/>
          <w:bCs w:val="1"/>
          <w:u w:val="single" w:color="auto"/>
          <w:color w:val="auto"/>
        </w:rPr>
        <w:t>Business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be reimbursed for reasonable and necessary expenses actually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incurred by Executive in performing services under this Agreement in accordance with and subject to the terms and conditions of the applicable Company reimbursement policies, procedures, and practices as they may exist from time to time. All such reimbursements shall be made no later than the end of the calendar year following the year in which the expense was incurred.</w:t>
      </w:r>
    </w:p>
    <w:p>
      <w:pPr>
        <w:spacing w:after="0" w:line="148"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3.3 </w:t>
      </w:r>
      <w:r>
        <w:rPr>
          <w:rFonts w:ascii="Times New Roman" w:cs="Times New Roman" w:eastAsia="Times New Roman" w:hAnsi="Times New Roman"/>
          <w:sz w:val="22"/>
          <w:szCs w:val="22"/>
          <w:b w:val="1"/>
          <w:bCs w:val="1"/>
          <w:u w:val="single" w:color="auto"/>
          <w:color w:val="auto"/>
        </w:rPr>
        <w:t>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Executive may participate in any Company bonus plan the Company may adopt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senior management subject to the terms, conditions, and any eligibility requirements that may exist in such plan or plans. Executive’s annual incentive compensation under such bonus plan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shall be targeted at forty percent (40%) of Executive’s Base Salary (such target, as may be increased by the Board from time to time, the “</w:t>
      </w:r>
      <w:r>
        <w:rPr>
          <w:rFonts w:ascii="Times New Roman" w:cs="Times New Roman" w:eastAsia="Times New Roman" w:hAnsi="Times New Roman"/>
          <w:sz w:val="22"/>
          <w:szCs w:val="22"/>
          <w:u w:val="single" w:color="auto"/>
          <w:color w:val="auto"/>
        </w:rPr>
        <w:t>Target Annual Bonus</w:t>
      </w:r>
      <w:r>
        <w:rPr>
          <w:rFonts w:ascii="Times New Roman" w:cs="Times New Roman" w:eastAsia="Times New Roman" w:hAnsi="Times New Roman"/>
          <w:sz w:val="22"/>
          <w:szCs w:val="22"/>
          <w:color w:val="auto"/>
        </w:rPr>
        <w:t xml:space="preserve"> ”). The Annual Bonus payable under the bonus plan shall be based on the achievement of performance goals to be determined by the Board. The payment of any Annual Bonus pursuant to the bonus plan shall be subject to Executive’s continued employment with the Company through the date of payment.</w:t>
      </w:r>
    </w:p>
    <w:p>
      <w:pPr>
        <w:spacing w:after="0" w:line="14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Executive may participate in all medical, dental and disability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401(k), personal leave and other employee benefit plans and programs of the Company for which Executive is eligible, provided, however, that Executive’s participation in benefit plans and programs is subject to the applicable terms, conditions and eligibility requirements of these plans and programs, some of which are within the plan administrator’s discretion, as they may exist from time to time. The Company shall pay annual dues and expenses for Executive’s membership and participation in such professional organizations as may be approved by the Board.</w:t>
      </w:r>
    </w:p>
    <w:p>
      <w:pPr>
        <w:spacing w:after="0" w:line="14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b w:val="1"/>
          <w:bCs w:val="1"/>
          <w:u w:val="single" w:color="auto"/>
          <w:color w:val="auto"/>
        </w:rPr>
        <w:t>Indemnification; D&amp;O Insurance</w:t>
      </w:r>
      <w:r>
        <w:rPr>
          <w:rFonts w:ascii="Times New Roman" w:cs="Times New Roman" w:eastAsia="Times New Roman" w:hAnsi="Times New Roman"/>
          <w:sz w:val="22"/>
          <w:szCs w:val="22"/>
          <w:color w:val="auto"/>
        </w:rPr>
        <w:t>. Both during and after the Term, the Company hereby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indemnify Executive and hold Executive harmless to the maximum extent permitted by the Company’s organizational documents as in effect from time to time against and in respect of any and all actions, suits, proceedings, investigations, claims, demands, judgments, costs, expenses (including reasonable attorney’s fees), losses, and damages resulting from Executive’s good faith performance of Executive’s duties and obligations with the Company hereunder; provided, that, Executive shall have no rights to indemnification with respect to any amounts subject to Clawback (as defined below). The Company shall cover the Executive under directors’ and officers’ liability insurance to the same extent as the Company covers its other active officers and directors. The foregoing obligations shall survive the termination of Executive’s employment with the Company.</w:t>
      </w:r>
    </w:p>
    <w:p>
      <w:pPr>
        <w:spacing w:after="0" w:line="148" w:lineRule="exact"/>
        <w:rPr>
          <w:sz w:val="20"/>
          <w:szCs w:val="20"/>
          <w:color w:val="auto"/>
        </w:rPr>
      </w:pPr>
    </w:p>
    <w:p>
      <w:pPr>
        <w:jc w:val="both"/>
        <w:ind w:firstLine="656"/>
        <w:spacing w:after="0" w:line="213" w:lineRule="auto"/>
        <w:tabs>
          <w:tab w:leader="none" w:pos="1296"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OF EMPLOYMENT AND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Executive acknowledge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is and shall continue to be at-will, as defined under applicable law, and that Executive's employment with the Company may be terminated by either Party at any time for any or no reason (subject to the notice requirements of this Section 4). This "at-will" nature of Executive's employment shall remain unchanged during Executive's tenure as an employee and may not be changed, except in an express writing signed by Executive and a duly authorized officer of the Company. The term of this Agreement and Executive’s employment hereunder shall commence on the Effective Date and continue until terminated as set forth in this Section 4. The date on which Executive’s employment terminates, as determined by the Company, regardless of the reason, shall be referred to herein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0" w:lineRule="exact"/>
        <w:rPr>
          <w:sz w:val="20"/>
          <w:szCs w:val="20"/>
          <w:color w:val="auto"/>
        </w:rPr>
      </w:pPr>
    </w:p>
    <w:p>
      <w:pPr>
        <w:spacing w:after="0" w:line="39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Upon termination of Executive's employment for any reason, Executive shall be deemed to have resigned from all offices and directorships, if any, then held with the Company or any of its subsidiaries.</w:t>
      </w:r>
    </w:p>
    <w:p>
      <w:pPr>
        <w:spacing w:after="0" w:line="146"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u w:val="single" w:color="auto"/>
          <w:color w:val="auto"/>
        </w:rPr>
        <w:t>Without Cause, Upon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the Company or Executive may terminate Executive’s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this Agreement without Cause at any time upon giving the other party thirty (30) days written notice.</w:t>
      </w:r>
    </w:p>
    <w:p>
      <w:pPr>
        <w:spacing w:after="0" w:line="146"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b w:val="1"/>
          <w:bCs w:val="1"/>
          <w:u w:val="single" w:color="auto"/>
          <w:color w:val="auto"/>
        </w:rPr>
        <w:t>For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may terminate Executive’s employment and this Agreement immediately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notice at any time for “Cause,” which shall mean the following:</w:t>
      </w:r>
    </w:p>
    <w:p>
      <w:pPr>
        <w:spacing w:after="0" w:line="146" w:lineRule="exact"/>
        <w:rPr>
          <w:sz w:val="20"/>
          <w:szCs w:val="20"/>
          <w:color w:val="auto"/>
        </w:rPr>
      </w:pPr>
    </w:p>
    <w:p>
      <w:pPr>
        <w:jc w:val="both"/>
        <w:ind w:left="720" w:firstLine="1879"/>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4.2.1 </w:t>
      </w:r>
      <w:r>
        <w:rPr>
          <w:rFonts w:ascii="Times New Roman" w:cs="Times New Roman" w:eastAsia="Times New Roman" w:hAnsi="Times New Roman"/>
          <w:sz w:val="22"/>
          <w:szCs w:val="22"/>
          <w:color w:val="auto"/>
        </w:rPr>
        <w:t>Executive's material failure to perform Executive’s duties or to carryout the reasonable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lawful instructions of the Chief Executive Officer or the Board of Directors (other than any such failure resulting from incapacity due to physical or mental illness);</w:t>
      </w:r>
    </w:p>
    <w:p>
      <w:pPr>
        <w:spacing w:after="0" w:line="146" w:lineRule="exact"/>
        <w:rPr>
          <w:sz w:val="20"/>
          <w:szCs w:val="20"/>
          <w:color w:val="auto"/>
        </w:rPr>
      </w:pPr>
    </w:p>
    <w:p>
      <w:pPr>
        <w:jc w:val="both"/>
        <w:ind w:left="720" w:firstLine="187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4.2.2 </w:t>
      </w:r>
      <w:r>
        <w:rPr>
          <w:rFonts w:ascii="Times New Roman" w:cs="Times New Roman" w:eastAsia="Times New Roman" w:hAnsi="Times New Roman"/>
          <w:sz w:val="22"/>
          <w:szCs w:val="22"/>
          <w:color w:val="auto"/>
        </w:rPr>
        <w:t>Executive's engagement in dishonesty, illegal conduct, or gross misconduct, which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case, materially injurious to the Company or its affiliates;</w:t>
      </w:r>
    </w:p>
    <w:p>
      <w:pPr>
        <w:spacing w:after="0" w:line="146" w:lineRule="exact"/>
        <w:rPr>
          <w:sz w:val="20"/>
          <w:szCs w:val="20"/>
          <w:color w:val="auto"/>
        </w:rPr>
      </w:pPr>
    </w:p>
    <w:p>
      <w:pPr>
        <w:jc w:val="both"/>
        <w:ind w:left="720" w:firstLine="187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4.2.3 </w:t>
      </w:r>
      <w:r>
        <w:rPr>
          <w:rFonts w:ascii="Times New Roman" w:cs="Times New Roman" w:eastAsia="Times New Roman" w:hAnsi="Times New Roman"/>
          <w:sz w:val="22"/>
          <w:szCs w:val="22"/>
          <w:color w:val="auto"/>
        </w:rPr>
        <w:t>Executive's embezzlement, misappropriation, or fraud, whether or not related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with the Company;</w:t>
      </w:r>
    </w:p>
    <w:p>
      <w:pPr>
        <w:spacing w:after="0" w:line="146" w:lineRule="exact"/>
        <w:rPr>
          <w:sz w:val="20"/>
          <w:szCs w:val="20"/>
          <w:color w:val="auto"/>
        </w:rPr>
      </w:pPr>
    </w:p>
    <w:p>
      <w:pPr>
        <w:jc w:val="both"/>
        <w:ind w:left="720" w:right="20" w:firstLine="187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4.2.4 </w:t>
      </w:r>
      <w:r>
        <w:rPr>
          <w:rFonts w:ascii="Times New Roman" w:cs="Times New Roman" w:eastAsia="Times New Roman" w:hAnsi="Times New Roman"/>
          <w:sz w:val="22"/>
          <w:szCs w:val="22"/>
          <w:color w:val="auto"/>
        </w:rPr>
        <w:t>Executive's conviction of or plea of guilty or nolo contendere to a crime that constitutes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felony (or state law equivalent) or a crime that constitutes a misdemeanor involving moral turpitude;</w:t>
      </w:r>
    </w:p>
    <w:p>
      <w:pPr>
        <w:spacing w:after="0" w:line="133"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22"/>
          <w:szCs w:val="22"/>
          <w:b w:val="1"/>
          <w:bCs w:val="1"/>
          <w:color w:val="auto"/>
        </w:rPr>
        <w:t>4.2.5</w:t>
      </w:r>
      <w:r>
        <w:rPr>
          <w:sz w:val="20"/>
          <w:szCs w:val="20"/>
          <w:color w:val="auto"/>
        </w:rPr>
        <w:tab/>
      </w:r>
      <w:r>
        <w:rPr>
          <w:rFonts w:ascii="Times New Roman" w:cs="Times New Roman" w:eastAsia="Times New Roman" w:hAnsi="Times New Roman"/>
          <w:sz w:val="22"/>
          <w:szCs w:val="22"/>
          <w:color w:val="auto"/>
        </w:rPr>
        <w:t>Executive’s  failure  to  cooperate  with  the  Company  in  any  investigation  or  formal</w:t>
      </w:r>
    </w:p>
    <w:p>
      <w:pPr>
        <w:ind w:left="720"/>
        <w:spacing w:after="0"/>
        <w:rPr>
          <w:sz w:val="20"/>
          <w:szCs w:val="20"/>
          <w:color w:val="auto"/>
        </w:rPr>
      </w:pPr>
      <w:r>
        <w:rPr>
          <w:rFonts w:ascii="Times New Roman" w:cs="Times New Roman" w:eastAsia="Times New Roman" w:hAnsi="Times New Roman"/>
          <w:sz w:val="22"/>
          <w:szCs w:val="22"/>
          <w:color w:val="auto"/>
        </w:rPr>
        <w:t>proceeding;</w:t>
      </w:r>
    </w:p>
    <w:p>
      <w:pPr>
        <w:spacing w:after="0" w:line="151" w:lineRule="exact"/>
        <w:rPr>
          <w:sz w:val="20"/>
          <w:szCs w:val="20"/>
          <w:color w:val="auto"/>
        </w:rPr>
      </w:pPr>
    </w:p>
    <w:p>
      <w:pPr>
        <w:jc w:val="both"/>
        <w:ind w:left="720" w:firstLine="1879"/>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4.2.6 </w:t>
      </w:r>
      <w:r>
        <w:rPr>
          <w:rFonts w:ascii="Times New Roman" w:cs="Times New Roman" w:eastAsia="Times New Roman" w:hAnsi="Times New Roman"/>
          <w:sz w:val="22"/>
          <w:szCs w:val="22"/>
          <w:color w:val="auto"/>
        </w:rPr>
        <w:t>Executive's material breach of any material obligation under this Agreement, the Restrictive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 Agreement (as defined in Section 6), or any other written agreement between the Executive and the Company; or</w:t>
      </w:r>
    </w:p>
    <w:p>
      <w:pPr>
        <w:spacing w:after="0" w:line="146" w:lineRule="exact"/>
        <w:rPr>
          <w:sz w:val="20"/>
          <w:szCs w:val="20"/>
          <w:color w:val="auto"/>
        </w:rPr>
      </w:pPr>
    </w:p>
    <w:p>
      <w:pPr>
        <w:jc w:val="both"/>
        <w:ind w:left="720" w:firstLine="187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4.2.7 </w:t>
      </w:r>
      <w:r>
        <w:rPr>
          <w:rFonts w:ascii="Times New Roman" w:cs="Times New Roman" w:eastAsia="Times New Roman" w:hAnsi="Times New Roman"/>
          <w:sz w:val="22"/>
          <w:szCs w:val="22"/>
          <w:color w:val="auto"/>
        </w:rPr>
        <w:t>any material failure by Executive to comply with the Company's written policies or rules,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they may be in effect from time to time.</w:t>
      </w:r>
    </w:p>
    <w:p>
      <w:pPr>
        <w:spacing w:after="0" w:line="16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Provided, however, that prior to termination based on Sections 4.2.1, 4.2.5, 4.2.6 or 4.2.7, Executive shall be given written notice of the facts allegedly constituting Cause and a ten (10) day opportunity to cure.</w:t>
      </w:r>
    </w:p>
    <w:p>
      <w:pPr>
        <w:spacing w:after="0" w:line="19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b w:val="1"/>
          <w:bCs w:val="1"/>
          <w:u w:val="single" w:color="auto"/>
          <w:color w:val="auto"/>
        </w:rPr>
        <w:t>By Death or Disability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and this Agreement shall terminate upon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Disability or death. For purposes of this Agreement, “Disability” shall mean Executive's inability, due to physical or mental incapacity, to perform the essential functions of Executive's job, with or without reasonable accommodation, for one hundred eighty (180) days out of any three hundred sixty-five (365) day period; provided however, in the event that the Company temporarily replaces the Executive, or transfers the Executive's duties or responsibilities to another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on account of the Executive's inability to perform such duties due to a mental or physical incapacity which is, or is reasonably expected to become, a Disability, then the Executive's employment shall not be deemed terminated by the Company and the Executive shall not be able to resign with Good Reason as a result thereof. Any question as to the existence of the Executive's Disability as to which the Executive and the Company cannot agree shall be determined in writing by a qualified independent physician mutually acceptable to the Executive and the Company. If the Executive and the Company cannot agree as to a qualified independent physician, each shall appoint such a physician and those two physicians shall select a third who shall make such determination in writing. The determination of Disability made in writing to the Company and the Executive shall be final and conclusive for all purposes of this Agreement. The Company shall give Executive written notice of termination for Disability and the termination shall be effective as of the date specified in such notice.</w:t>
      </w:r>
    </w:p>
    <w:p>
      <w:pPr>
        <w:spacing w:after="0" w:line="152"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4.4 </w:t>
      </w:r>
      <w:r>
        <w:rPr>
          <w:rFonts w:ascii="Times New Roman" w:cs="Times New Roman" w:eastAsia="Times New Roman" w:hAnsi="Times New Roman"/>
          <w:sz w:val="22"/>
          <w:szCs w:val="22"/>
          <w:b w:val="1"/>
          <w:bCs w:val="1"/>
          <w:u w:val="single" w:color="auto"/>
          <w:color w:val="auto"/>
        </w:rPr>
        <w:t>For Good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may terminate Executive’s employment for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 the occurrence of any of the following, in each case without the Executive's written consent:</w:t>
      </w:r>
    </w:p>
    <w:p>
      <w:pPr>
        <w:spacing w:after="0" w:line="133"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22"/>
          <w:szCs w:val="22"/>
          <w:b w:val="1"/>
          <w:bCs w:val="1"/>
          <w:color w:val="auto"/>
        </w:rPr>
        <w:t>4.4.1</w:t>
      </w:r>
      <w:r>
        <w:rPr>
          <w:sz w:val="20"/>
          <w:szCs w:val="20"/>
          <w:color w:val="auto"/>
        </w:rPr>
        <w:tab/>
      </w:r>
      <w:r>
        <w:rPr>
          <w:rFonts w:ascii="Times New Roman" w:cs="Times New Roman" w:eastAsia="Times New Roman" w:hAnsi="Times New Roman"/>
          <w:sz w:val="22"/>
          <w:szCs w:val="22"/>
          <w:color w:val="auto"/>
        </w:rPr>
        <w:t>a material reduction in Executive's Base Salary by an amount equivalent to ten percent</w:t>
      </w:r>
    </w:p>
    <w:p>
      <w:pPr>
        <w:ind w:left="720"/>
        <w:spacing w:after="0"/>
        <w:rPr>
          <w:sz w:val="20"/>
          <w:szCs w:val="20"/>
          <w:color w:val="auto"/>
        </w:rPr>
      </w:pPr>
      <w:r>
        <w:rPr>
          <w:rFonts w:ascii="Times New Roman" w:cs="Times New Roman" w:eastAsia="Times New Roman" w:hAnsi="Times New Roman"/>
          <w:sz w:val="22"/>
          <w:szCs w:val="22"/>
          <w:color w:val="auto"/>
        </w:rPr>
        <w:t>(10%) or greater, other than a general reduction in Base Salary that affects all similarly situated executives;</w:t>
      </w:r>
    </w:p>
    <w:p>
      <w:pPr>
        <w:spacing w:after="0" w:line="151" w:lineRule="exact"/>
        <w:rPr>
          <w:sz w:val="20"/>
          <w:szCs w:val="20"/>
          <w:color w:val="auto"/>
        </w:rPr>
      </w:pPr>
    </w:p>
    <w:p>
      <w:pPr>
        <w:jc w:val="both"/>
        <w:ind w:left="720" w:firstLine="187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4.4.2 </w:t>
      </w:r>
      <w:r>
        <w:rPr>
          <w:rFonts w:ascii="Times New Roman" w:cs="Times New Roman" w:eastAsia="Times New Roman" w:hAnsi="Times New Roman"/>
          <w:sz w:val="22"/>
          <w:szCs w:val="22"/>
          <w:color w:val="auto"/>
        </w:rPr>
        <w:t>material, adverse change in Executive’s title, authority, duties, or responsibilities (other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temporarily while the Executive is physically or mentally incapacitated or as required by applicable law),</w:t>
      </w:r>
    </w:p>
    <w:p>
      <w:pPr>
        <w:spacing w:after="0" w:line="146" w:lineRule="exact"/>
        <w:rPr>
          <w:sz w:val="20"/>
          <w:szCs w:val="20"/>
          <w:color w:val="auto"/>
        </w:rPr>
      </w:pPr>
    </w:p>
    <w:p>
      <w:pPr>
        <w:jc w:val="both"/>
        <w:ind w:left="720" w:right="20" w:firstLine="187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4.4.3 </w:t>
      </w:r>
      <w:r>
        <w:rPr>
          <w:rFonts w:ascii="Times New Roman" w:cs="Times New Roman" w:eastAsia="Times New Roman" w:hAnsi="Times New Roman"/>
          <w:sz w:val="22"/>
          <w:szCs w:val="22"/>
          <w:color w:val="auto"/>
        </w:rPr>
        <w:t>an involuntary relocation of the Executive's principal place of employment by more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thirty five (35) miles; or</w:t>
      </w:r>
    </w:p>
    <w:p>
      <w:pPr>
        <w:spacing w:after="0" w:line="146" w:lineRule="exact"/>
        <w:rPr>
          <w:sz w:val="20"/>
          <w:szCs w:val="20"/>
          <w:color w:val="auto"/>
        </w:rPr>
      </w:pPr>
    </w:p>
    <w:p>
      <w:pPr>
        <w:jc w:val="both"/>
        <w:ind w:left="720" w:firstLine="1879"/>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4.4.4 </w:t>
      </w:r>
      <w:r>
        <w:rPr>
          <w:rFonts w:ascii="Times New Roman" w:cs="Times New Roman" w:eastAsia="Times New Roman" w:hAnsi="Times New Roman"/>
          <w:sz w:val="22"/>
          <w:szCs w:val="22"/>
          <w:color w:val="auto"/>
        </w:rPr>
        <w:t>the Company's failure to obtain an agreement from any successor to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assume and agree to perform this Agreement in the same manner and to the same extent that the Company would be required to perform if no succession had taken place, except where such assumption occurs by operation of law.</w:t>
      </w:r>
    </w:p>
    <w:p>
      <w:pPr>
        <w:spacing w:after="0" w:line="16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1"/>
          <w:szCs w:val="21"/>
          <w:color w:val="auto"/>
        </w:rPr>
        <w:t>Executive cannot terminate Executive’s employment for Good Reason unless Executive has provided written notice to the Company of the existence of the circumstances providing grounds for termination for Good Reason within sixty (60) days of the initial existence of such grounds and the Company has had at least thirty (30) days from the date on which such notice is provided to cure such circumstances. If the Executive does not terminate Executive’s employment for Good Reason within ninety</w:t>
      </w:r>
    </w:p>
    <w:p>
      <w:pPr>
        <w:spacing w:after="0" w:line="2" w:lineRule="exact"/>
        <w:rPr>
          <w:sz w:val="20"/>
          <w:szCs w:val="20"/>
          <w:color w:val="auto"/>
        </w:rPr>
      </w:pPr>
    </w:p>
    <w:p>
      <w:pPr>
        <w:ind w:right="40" w:firstLine="8"/>
        <w:spacing w:after="0" w:line="231" w:lineRule="auto"/>
        <w:tabs>
          <w:tab w:leader="none" w:pos="41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first occurrence of the applicable grounds, then the Executive will be deemed to have waived Executive’s right to terminate for Good Reason with respect to such grounds.</w:t>
      </w:r>
    </w:p>
    <w:p>
      <w:pPr>
        <w:spacing w:after="0" w:line="187"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1"/>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COMPENSATION AND BENEFITS UPON TERMINATION</w:t>
      </w:r>
      <w:r>
        <w:rPr>
          <w:rFonts w:ascii="Times New Roman" w:cs="Times New Roman" w:eastAsia="Times New Roman" w:hAnsi="Times New Roman"/>
          <w:sz w:val="21"/>
          <w:szCs w:val="21"/>
          <w:color w:val="auto"/>
        </w:rPr>
        <w:t>. If Executive's employment terminates for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reason, Executive shall not be entitled to any payments, benefits, damages, award or compensation other than as provided in this Agreement or otherwise agreed to in writing by the Company or as provided by applicable law. Upon termination of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employment pursuant to any of the circumstances listed in Section 4, Executive (or Executive's estate) shall be entitled to receive the sum of: (i) the portion of Executive's Base Salary earned through the Separation Date, but not yet paid to Executive; (ii) any expense reimbursements owed to Executive pursuant to Section 3.2;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Except as otherwise expressly required by law (</w:t>
      </w:r>
      <w:r>
        <w:rPr>
          <w:rFonts w:ascii="Times New Roman" w:cs="Times New Roman" w:eastAsia="Times New Roman" w:hAnsi="Times New Roman"/>
          <w:sz w:val="21"/>
          <w:szCs w:val="21"/>
          <w:u w:val="single" w:color="auto"/>
          <w:color w:val="auto"/>
        </w:rPr>
        <w:t>e.g</w:t>
      </w:r>
      <w:r>
        <w:rPr>
          <w:rFonts w:ascii="Times New Roman" w:cs="Times New Roman" w:eastAsia="Times New Roman" w:hAnsi="Times New Roman"/>
          <w:sz w:val="21"/>
          <w:szCs w:val="21"/>
          <w:color w:val="auto"/>
        </w:rPr>
        <w:t>.,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Section 5.</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b w:val="1"/>
          <w:bCs w:val="1"/>
          <w:u w:val="single" w:color="auto"/>
          <w:color w:val="auto"/>
        </w:rPr>
        <w:t>By the Company for Cause or because of Executive’s Death or Disability, or by Executive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Cause, Upon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Executive’s employment and this Agreement are terminated by the Company for Cause or because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death or Disability, or by Executive pursuant to Section 4.1 (Without Cause, Upon Notice), then the Company’s obligation to compensate Executive ceases on the Separation Date except for the Accrued Obligations.</w:t>
      </w:r>
    </w:p>
    <w:p>
      <w:pPr>
        <w:spacing w:after="0" w:line="148"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5.2 </w:t>
      </w:r>
      <w:r>
        <w:rPr>
          <w:rFonts w:ascii="Times New Roman" w:cs="Times New Roman" w:eastAsia="Times New Roman" w:hAnsi="Times New Roman"/>
          <w:sz w:val="22"/>
          <w:szCs w:val="22"/>
          <w:b w:val="1"/>
          <w:bCs w:val="1"/>
          <w:u w:val="single" w:color="auto"/>
          <w:color w:val="auto"/>
        </w:rPr>
        <w:t>By the Company Without Cause or by Executive for Good Reason</w:t>
      </w:r>
      <w:r>
        <w:rPr>
          <w:rFonts w:ascii="Times New Roman" w:cs="Times New Roman" w:eastAsia="Times New Roman" w:hAnsi="Times New Roman"/>
          <w:sz w:val="22"/>
          <w:szCs w:val="22"/>
          <w:color w:val="auto"/>
        </w:rPr>
        <w:t>. If the Company terminates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and this Agreement pursuant to Section 4.1 (Without Cause, Upon Notice) or Executive terminates Executive’s employment and this Agreement pursuant to Section 4.4 (for Good Reason), subject to Executive’s continued compliance with Executive’s obligations under the Restrictive Covenant Agreement then the Company shall pay Executive the Accrued Obligations and subject to Section 5.5 (Required Release), Executive shall be entitled to the following:</w:t>
      </w:r>
    </w:p>
    <w:p>
      <w:pPr>
        <w:spacing w:after="0" w:line="147" w:lineRule="exact"/>
        <w:rPr>
          <w:sz w:val="20"/>
          <w:szCs w:val="20"/>
          <w:color w:val="auto"/>
        </w:rPr>
      </w:pPr>
    </w:p>
    <w:p>
      <w:pPr>
        <w:jc w:val="both"/>
        <w:ind w:firstLine="2592"/>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5.2.1 </w:t>
      </w:r>
      <w:r>
        <w:rPr>
          <w:rFonts w:ascii="Times New Roman" w:cs="Times New Roman" w:eastAsia="Times New Roman" w:hAnsi="Times New Roman"/>
          <w:sz w:val="22"/>
          <w:szCs w:val="22"/>
          <w:color w:val="auto"/>
        </w:rPr>
        <w:t>pay Executive an amount equal to twelve (12) months of Executive’s then current monthly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Base Salary (less applicable taxes and withholdings) (the “</w:t>
      </w:r>
      <w:r>
        <w:rPr>
          <w:rFonts w:ascii="Times New Roman" w:cs="Times New Roman" w:eastAsia="Times New Roman" w:hAnsi="Times New Roman"/>
          <w:sz w:val="22"/>
          <w:szCs w:val="22"/>
          <w:u w:val="single" w:color="auto"/>
          <w:color w:val="auto"/>
        </w:rPr>
        <w:t>Severance Amount</w:t>
      </w:r>
      <w:r>
        <w:rPr>
          <w:rFonts w:ascii="Times New Roman" w:cs="Times New Roman" w:eastAsia="Times New Roman" w:hAnsi="Times New Roman"/>
          <w:sz w:val="22"/>
          <w:szCs w:val="22"/>
          <w:color w:val="auto"/>
        </w:rPr>
        <w:t>”), payable in substantially equal monthly installments on the same payroll schedule applicable to Executive immediately prior to Executive’s separation from service and over the twelve month period (the “</w:t>
      </w:r>
      <w:r>
        <w:rPr>
          <w:rFonts w:ascii="Times New Roman" w:cs="Times New Roman" w:eastAsia="Times New Roman" w:hAnsi="Times New Roman"/>
          <w:sz w:val="22"/>
          <w:szCs w:val="22"/>
          <w:u w:val="single" w:color="auto"/>
          <w:color w:val="auto"/>
        </w:rPr>
        <w:t>Severance Period</w:t>
      </w:r>
      <w:r>
        <w:rPr>
          <w:rFonts w:ascii="Times New Roman" w:cs="Times New Roman" w:eastAsia="Times New Roman" w:hAnsi="Times New Roman"/>
          <w:sz w:val="22"/>
          <w:szCs w:val="22"/>
          <w:color w:val="auto"/>
        </w:rPr>
        <w:t>”) commencing on the first such payroll date on or following the Release Effective Date (as defined in Section 5.5 below), but not later than seventy (70) days following the Separation Date; provided however that if the 70th day following the Separation Date occurs in the year following the year in which the Separation Date occurs, then the payments shall commence no earlier than January 1 of such subsequent year and provided further that if such payments commence in such subsequent year, the first such payment shall be a lump sum in an amount equal to the payments missed between the Separation Date and the Release Effective Date;</w:t>
      </w:r>
    </w:p>
    <w:p>
      <w:pPr>
        <w:spacing w:after="0" w:line="149" w:lineRule="exact"/>
        <w:rPr>
          <w:sz w:val="20"/>
          <w:szCs w:val="20"/>
          <w:color w:val="auto"/>
        </w:rPr>
      </w:pPr>
    </w:p>
    <w:p>
      <w:pPr>
        <w:jc w:val="both"/>
        <w:ind w:firstLine="2592"/>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5.2.2 </w:t>
      </w:r>
      <w:r>
        <w:rPr>
          <w:rFonts w:ascii="Times New Roman" w:cs="Times New Roman" w:eastAsia="Times New Roman" w:hAnsi="Times New Roman"/>
          <w:sz w:val="22"/>
          <w:szCs w:val="22"/>
          <w:color w:val="auto"/>
        </w:rPr>
        <w:t>an amount equal to one (1.0) times the Target Annual Bonus, payable in lump sum no later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seventy (70) days following the Separation Date; and</w:t>
      </w:r>
    </w:p>
    <w:p>
      <w:pPr>
        <w:spacing w:after="0" w:line="146" w:lineRule="exact"/>
        <w:rPr>
          <w:sz w:val="20"/>
          <w:szCs w:val="20"/>
          <w:color w:val="auto"/>
        </w:rPr>
      </w:pPr>
    </w:p>
    <w:p>
      <w:pPr>
        <w:jc w:val="both"/>
        <w:ind w:firstLine="2592"/>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5.2.3 </w:t>
      </w:r>
      <w:r>
        <w:rPr>
          <w:rFonts w:ascii="Times New Roman" w:cs="Times New Roman" w:eastAsia="Times New Roman" w:hAnsi="Times New Roman"/>
          <w:sz w:val="22"/>
          <w:szCs w:val="22"/>
          <w:color w:val="auto"/>
        </w:rPr>
        <w:t>If Executive timely and properly elects health continuation coverage under the Consolidated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Omnibus Budget Reconciliation Act of 1985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during the Severance Period, the Company shall reimburse Executive for the difference between the monthly COBRA premium paid by the Executive and the monthly premium amount paid by Executive immediately prior to the date that Executive’s employment terminated. Such reimbursement shall be paid to the Executive on or before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390"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immediately following the month in which the Executive timely remits the premium payment, with such reimbursements to commence when the payments under Section 5.2.1 commence. Executive shall be eligible to receive such reimbursement until the earliest of: (i) the end of the Severance Period; (ii) the date the Executive is no longer eligible to receive COBRA continuation coverage; and (iii) the date on which the Executive becomes eligible to receive substantially similar coverage from another employer or other source. Notwithstanding the foregoing, if the Company's making payments under this Section 5.2.3 would violate the nondiscrimination rules applicable to non-grandfathered plans under the Affordable Care Act (the " </w:t>
      </w:r>
      <w:r>
        <w:rPr>
          <w:rFonts w:ascii="Times New Roman" w:cs="Times New Roman" w:eastAsia="Times New Roman" w:hAnsi="Times New Roman"/>
          <w:sz w:val="22"/>
          <w:szCs w:val="22"/>
          <w:u w:val="single" w:color="auto"/>
          <w:color w:val="auto"/>
        </w:rPr>
        <w:t>ACA</w:t>
      </w:r>
      <w:r>
        <w:rPr>
          <w:rFonts w:ascii="Times New Roman" w:cs="Times New Roman" w:eastAsia="Times New Roman" w:hAnsi="Times New Roman"/>
          <w:sz w:val="22"/>
          <w:szCs w:val="22"/>
          <w:color w:val="auto"/>
        </w:rPr>
        <w:t xml:space="preserve"> "), or result in the imposition of penalties under the ACA and the related regulations and guidance promulgated thereunder), the parties agree to reform this Section 5.2.3 in a manner as is necessary to comply with the ACA. Executive shall provide the Company with notice of subsequent employment and comparable coverage within thirty (30) days of commencement of such comparable coverage;</w:t>
      </w:r>
    </w:p>
    <w:p>
      <w:pPr>
        <w:spacing w:after="0" w:line="148" w:lineRule="exact"/>
        <w:rPr>
          <w:sz w:val="20"/>
          <w:szCs w:val="20"/>
          <w:color w:val="auto"/>
        </w:rPr>
      </w:pPr>
    </w:p>
    <w:p>
      <w:pPr>
        <w:jc w:val="both"/>
        <w:ind w:firstLine="2592"/>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5.2.4 </w:t>
      </w:r>
      <w:r>
        <w:rPr>
          <w:rFonts w:ascii="Times New Roman" w:cs="Times New Roman" w:eastAsia="Times New Roman" w:hAnsi="Times New Roman"/>
          <w:sz w:val="22"/>
          <w:szCs w:val="22"/>
          <w:color w:val="auto"/>
        </w:rPr>
        <w:t>Executive’s unvested time-based equity grants shall vest as of the Separation Date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that portion of such unvested time-based equity grants that would have vested within the thirteen (13) month period immediately following the Separation Date based solely on the passage of time had Executive remained employed by the Company through such period, provided that such equity shall remain subject to the other terms and conditions of the applicable Company incentive award plan(s) and individual award agreement(s); and</w:t>
      </w:r>
    </w:p>
    <w:p>
      <w:pPr>
        <w:spacing w:after="0" w:line="147" w:lineRule="exact"/>
        <w:rPr>
          <w:sz w:val="20"/>
          <w:szCs w:val="20"/>
          <w:color w:val="auto"/>
        </w:rPr>
      </w:pPr>
    </w:p>
    <w:p>
      <w:pPr>
        <w:jc w:val="both"/>
        <w:ind w:firstLine="2592"/>
        <w:spacing w:after="0" w:line="238" w:lineRule="auto"/>
        <w:rPr>
          <w:sz w:val="20"/>
          <w:szCs w:val="20"/>
          <w:color w:val="auto"/>
        </w:rPr>
      </w:pPr>
      <w:r>
        <w:rPr>
          <w:rFonts w:ascii="Times New Roman" w:cs="Times New Roman" w:eastAsia="Times New Roman" w:hAnsi="Times New Roman"/>
          <w:sz w:val="21"/>
          <w:szCs w:val="21"/>
          <w:b w:val="1"/>
          <w:bCs w:val="1"/>
          <w:color w:val="auto"/>
        </w:rPr>
        <w:t xml:space="preserve">5.2.5 </w:t>
      </w:r>
      <w:r>
        <w:rPr>
          <w:rFonts w:ascii="Times New Roman" w:cs="Times New Roman" w:eastAsia="Times New Roman" w:hAnsi="Times New Roman"/>
          <w:sz w:val="21"/>
          <w:szCs w:val="21"/>
          <w:color w:val="auto"/>
        </w:rPr>
        <w:t>the right to exercise any outstanding and vested stock options to purchase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until the earlier of (a) the date one (1) year following the Separation Date, (b) the maximum term of the applicable stock option, and (c) unless such options are assumed or substituted in the Change in Control, the date of a Change in Control.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5.3 </w:t>
      </w:r>
      <w:r>
        <w:rPr>
          <w:rFonts w:ascii="Times New Roman" w:cs="Times New Roman" w:eastAsia="Times New Roman" w:hAnsi="Times New Roman"/>
          <w:sz w:val="22"/>
          <w:szCs w:val="22"/>
          <w:b w:val="1"/>
          <w:bCs w:val="1"/>
          <w:u w:val="single" w:color="auto"/>
          <w:color w:val="auto"/>
        </w:rPr>
        <w:t>During the Change in Control Termination Period, by the Company Without Cause or by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for Good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during the Change in Control Termination Period, as defined herein, either the Company terminates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and this Agreement pursuant to Section 4.1 (Without Cause, Upon Notice) or Executive terminates Executive’s employment and this Agreement pursuant to Section 4.4 (for Good Reason), then in lieu of any payments or benefits under Section 5.2, and subject to Executive’s continued compliance with Executive’s obligations under the Restrictive Covenant Agreement, the Company shall pay Executive the Accrued Obligations and, subject to Section 5.5 (Required Release), Executive shall be entitled to the following:</w:t>
      </w:r>
    </w:p>
    <w:p>
      <w:pPr>
        <w:spacing w:after="0" w:line="149" w:lineRule="exact"/>
        <w:rPr>
          <w:sz w:val="20"/>
          <w:szCs w:val="20"/>
          <w:color w:val="auto"/>
        </w:rPr>
      </w:pPr>
    </w:p>
    <w:p>
      <w:pPr>
        <w:jc w:val="both"/>
        <w:ind w:firstLine="2592"/>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5.3.1 </w:t>
      </w:r>
      <w:r>
        <w:rPr>
          <w:rFonts w:ascii="Times New Roman" w:cs="Times New Roman" w:eastAsia="Times New Roman" w:hAnsi="Times New Roman"/>
          <w:sz w:val="21"/>
          <w:szCs w:val="21"/>
          <w:color w:val="auto"/>
        </w:rPr>
        <w:t>The Company shall pay Executive an amount equal to eighteen (18) months of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then current monthly base salary (less applicable taxes and withholdings) (the “</w:t>
      </w:r>
      <w:r>
        <w:rPr>
          <w:rFonts w:ascii="Times New Roman" w:cs="Times New Roman" w:eastAsia="Times New Roman" w:hAnsi="Times New Roman"/>
          <w:sz w:val="21"/>
          <w:szCs w:val="21"/>
          <w:u w:val="single" w:color="auto"/>
          <w:color w:val="auto"/>
        </w:rPr>
        <w:t>CIC Severance Period</w:t>
      </w:r>
      <w:r>
        <w:rPr>
          <w:rFonts w:ascii="Times New Roman" w:cs="Times New Roman" w:eastAsia="Times New Roman" w:hAnsi="Times New Roman"/>
          <w:sz w:val="21"/>
          <w:szCs w:val="21"/>
          <w:color w:val="auto"/>
        </w:rPr>
        <w:t>”) plus one and a half (1.5) times Executive’s target bonus for the year during which the Separation Date occurs, payable in lump sum no later than seventy</w:t>
      </w:r>
    </w:p>
    <w:p>
      <w:pPr>
        <w:spacing w:after="0" w:line="3" w:lineRule="exact"/>
        <w:rPr>
          <w:sz w:val="20"/>
          <w:szCs w:val="20"/>
          <w:color w:val="auto"/>
        </w:rPr>
      </w:pPr>
    </w:p>
    <w:p>
      <w:pPr>
        <w:jc w:val="both"/>
        <w:ind w:firstLine="8"/>
        <w:spacing w:after="0" w:line="214" w:lineRule="auto"/>
        <w:tabs>
          <w:tab w:leader="none" w:pos="423"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the Separation Date; provided, that, if the Separation Date occurs within three (3) months prior to a Change in Control, any amounts payable under this Section 5.3.1 (excluding any amount payable under either Section 5.2.1 or 5.2.2 prior to the date thirty (30) days following the date of the Change in Control) shall be paid no later than the date falling on the later of</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seventy (70) days following the Separation Date, and (b) thirty (30) days following the date of the Change in Control;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386" w:lineRule="exact"/>
        <w:rPr>
          <w:sz w:val="20"/>
          <w:szCs w:val="20"/>
          <w:color w:val="auto"/>
        </w:rPr>
      </w:pPr>
    </w:p>
    <w:p>
      <w:pPr>
        <w:jc w:val="both"/>
        <w:ind w:firstLine="2592"/>
        <w:spacing w:after="0" w:line="205" w:lineRule="auto"/>
        <w:rPr>
          <w:sz w:val="20"/>
          <w:szCs w:val="20"/>
          <w:color w:val="auto"/>
        </w:rPr>
      </w:pPr>
      <w:r>
        <w:rPr>
          <w:rFonts w:ascii="Times New Roman" w:cs="Times New Roman" w:eastAsia="Times New Roman" w:hAnsi="Times New Roman"/>
          <w:sz w:val="22"/>
          <w:szCs w:val="22"/>
          <w:b w:val="1"/>
          <w:bCs w:val="1"/>
          <w:color w:val="auto"/>
        </w:rPr>
        <w:t xml:space="preserve">5.3.2 </w:t>
      </w:r>
      <w:r>
        <w:rPr>
          <w:rFonts w:ascii="Times New Roman" w:cs="Times New Roman" w:eastAsia="Times New Roman" w:hAnsi="Times New Roman"/>
          <w:sz w:val="22"/>
          <w:szCs w:val="22"/>
          <w:color w:val="auto"/>
        </w:rPr>
        <w:t>If Executive timely and properly elects health continuation coverage under COBRA,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eighteen (18) month period following the Separation Date, the Company shall reimburse Executive for the difference between the monthly COBRA premium paid by the Executive and the monthly premium amount paid by Executive immediately prior to the date that Executive’s employment terminated. Such reimbursement shall be paid to the Executive on or before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month immediately following the month in which Executive timely remits the premium payment, with such reimbursements to commence in the month following the month the release under Section 5.4 becomes effective and non-revocable. Executive shall be eligible to receive such reimbursement until the earliest of: (i) the eighteen-month anniversary of the Separation Date; (ii) the date the Executive is no longer eligible to receive COBRA continuation coverage; and (iii) the date on which the Executive becomes eligible to receive substantially similar coverage from another employer or other source. Notwithstanding the foregoing, if the Company's making payments under this Section 5.3.2 would violate the nondiscrimination rules applicable to non-grandfathered plans under the ACA, or result in the imposition of penalties under the ACA and the related regulations and guidance promulgated thereunder), the parties agree to reform this Section 5.3.2 in a manner as is necessary to comply with the ACA. Executive shall provide the Company with notice of subsequent employment and comparable coverage within thirty (30) days of commencement of such comparable coverage.</w:t>
      </w:r>
    </w:p>
    <w:p>
      <w:pPr>
        <w:spacing w:after="0" w:line="156" w:lineRule="exact"/>
        <w:rPr>
          <w:sz w:val="20"/>
          <w:szCs w:val="20"/>
          <w:color w:val="auto"/>
        </w:rPr>
      </w:pPr>
    </w:p>
    <w:p>
      <w:pPr>
        <w:jc w:val="both"/>
        <w:ind w:firstLine="2592"/>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5.3.3 </w:t>
      </w:r>
      <w:r>
        <w:rPr>
          <w:rFonts w:ascii="Times New Roman" w:cs="Times New Roman" w:eastAsia="Times New Roman" w:hAnsi="Times New Roman"/>
          <w:sz w:val="22"/>
          <w:szCs w:val="22"/>
          <w:color w:val="auto"/>
        </w:rPr>
        <w:t>all unvested time-based equity grants shall vest in full as of the Separation Date,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such equity shall remain subject to the other terms and conditions of the applicable Company incentive award plan(s) and individual award agreement(s); and</w:t>
      </w:r>
    </w:p>
    <w:p>
      <w:pPr>
        <w:spacing w:after="0" w:line="146" w:lineRule="exact"/>
        <w:rPr>
          <w:sz w:val="20"/>
          <w:szCs w:val="20"/>
          <w:color w:val="auto"/>
        </w:rPr>
      </w:pPr>
    </w:p>
    <w:p>
      <w:pPr>
        <w:jc w:val="both"/>
        <w:ind w:firstLine="2592"/>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5.3.4 </w:t>
      </w:r>
      <w:r>
        <w:rPr>
          <w:rFonts w:ascii="Times New Roman" w:cs="Times New Roman" w:eastAsia="Times New Roman" w:hAnsi="Times New Roman"/>
          <w:sz w:val="22"/>
          <w:szCs w:val="22"/>
          <w:color w:val="auto"/>
        </w:rPr>
        <w:t>the right to exercise any outstanding and vested stock options to purchase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until the earlier of (a) the date one (1) year following the Separation Date, (b) the maximum term of the applicable stock option, and (c) unless the applicable options are assumed or substituted in the Change in Control, the date of a Change in Control.</w:t>
      </w:r>
    </w:p>
    <w:p>
      <w:pPr>
        <w:spacing w:after="0" w:line="14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Definition of Change in Control and Change in Control Termination Period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5.4.1</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and includes each of the following:</w:t>
      </w:r>
    </w:p>
    <w:p>
      <w:pPr>
        <w:spacing w:after="0" w:line="183" w:lineRule="exact"/>
        <w:rPr>
          <w:sz w:val="20"/>
          <w:szCs w:val="20"/>
          <w:color w:val="auto"/>
        </w:rPr>
      </w:pPr>
    </w:p>
    <w:p>
      <w:pPr>
        <w:jc w:val="both"/>
        <w:ind w:firstLine="1952"/>
        <w:spacing w:after="0" w:line="210" w:lineRule="auto"/>
        <w:tabs>
          <w:tab w:leader="none" w:pos="258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provided, however, that for purposes of this Agreement,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39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interests representing at least 50% of the total combined voting power of all classes of securities or interests in one of the other entities in such chain; or</w:t>
      </w:r>
    </w:p>
    <w:p>
      <w:pPr>
        <w:spacing w:after="0" w:line="150" w:lineRule="exact"/>
        <w:rPr>
          <w:sz w:val="20"/>
          <w:szCs w:val="20"/>
          <w:color w:val="auto"/>
        </w:rPr>
      </w:pPr>
    </w:p>
    <w:p>
      <w:pPr>
        <w:jc w:val="both"/>
        <w:ind w:firstLine="1952"/>
        <w:spacing w:after="0" w:line="215" w:lineRule="auto"/>
        <w:tabs>
          <w:tab w:leader="none" w:pos="258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two consecutive years, individuals who, at the beginning of such period, constitute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together with any new director(s) of the Board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52" w:lineRule="exact"/>
        <w:rPr>
          <w:rFonts w:ascii="Times New Roman" w:cs="Times New Roman" w:eastAsia="Times New Roman" w:hAnsi="Times New Roman"/>
          <w:sz w:val="22"/>
          <w:szCs w:val="22"/>
          <w:color w:val="auto"/>
        </w:rPr>
      </w:pPr>
    </w:p>
    <w:p>
      <w:pPr>
        <w:jc w:val="both"/>
        <w:ind w:firstLine="2600"/>
        <w:spacing w:after="0" w:line="215" w:lineRule="auto"/>
        <w:tabs>
          <w:tab w:leader="none" w:pos="3228"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2"/>
          <w:szCs w:val="22"/>
          <w:u w:val="single" w:color="auto"/>
          <w:color w:val="auto"/>
        </w:rPr>
        <w:t>Successor Entity</w:t>
      </w:r>
      <w:r>
        <w:rPr>
          <w:rFonts w:ascii="Times New Roman" w:cs="Times New Roman" w:eastAsia="Times New Roman" w:hAnsi="Times New Roman"/>
          <w:sz w:val="22"/>
          <w:szCs w:val="22"/>
          <w:color w:val="auto"/>
        </w:rPr>
        <w:t>”)) directly or indirectly, at least a majority of the combined voting power of the Successor Entity’s outstanding voting securities immediately after the transaction, and</w:t>
      </w:r>
    </w:p>
    <w:p>
      <w:pPr>
        <w:spacing w:after="0" w:line="152"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3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 and</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which at least a majority of the members of the board of directors (or the analogous governing body) of the Successor Entity immediately following the date of such transaction were Board members immediately prior to the date of such transaction.</w:t>
      </w:r>
    </w:p>
    <w:p>
      <w:pPr>
        <w:spacing w:after="0" w:line="148" w:lineRule="exact"/>
        <w:rPr>
          <w:sz w:val="20"/>
          <w:szCs w:val="20"/>
          <w:color w:val="auto"/>
        </w:rPr>
      </w:pPr>
    </w:p>
    <w:p>
      <w:pPr>
        <w:jc w:val="both"/>
        <w:ind w:firstLine="194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5.4.2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 Termination Period</w:t>
      </w:r>
      <w:r>
        <w:rPr>
          <w:rFonts w:ascii="Times New Roman" w:cs="Times New Roman" w:eastAsia="Times New Roman" w:hAnsi="Times New Roman"/>
          <w:sz w:val="22"/>
          <w:szCs w:val="22"/>
          <w:color w:val="auto"/>
        </w:rPr>
        <w:t>” shall mean the period beginning three (3) months prior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ending twelve (12) months following the occurrence of a Change in Control.</w:t>
      </w:r>
    </w:p>
    <w:p>
      <w:pPr>
        <w:spacing w:after="0" w:line="146" w:lineRule="exact"/>
        <w:rPr>
          <w:sz w:val="20"/>
          <w:szCs w:val="20"/>
          <w:color w:val="auto"/>
        </w:rPr>
      </w:pPr>
    </w:p>
    <w:p>
      <w:pPr>
        <w:jc w:val="both"/>
        <w:ind w:firstLine="1944"/>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5.4.3 </w:t>
      </w:r>
      <w:r>
        <w:rPr>
          <w:rFonts w:ascii="Times New Roman" w:cs="Times New Roman" w:eastAsia="Times New Roman" w:hAnsi="Times New Roman"/>
          <w:sz w:val="22"/>
          <w:szCs w:val="22"/>
          <w:color w:val="auto"/>
        </w:rPr>
        <w:t>Notwithstanding the foregoing, if a Change in Control constitutes a payment event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that provides for the deferral of compensation that is subject to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the regulations thereunder (collectively,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to the extent required to avoid the imposition of additional taxes under Section 409A, the transaction or event described in subsection (a), (b) or (c) with respect to such payment (or portion thereof) shall only constitute a Change in Control for purposes of the payment timing if such transaction also constitutes a “change in control event,” as defined in Treasury Regulation Section 1.409A-3(i)(5).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386" w:lineRule="exact"/>
        <w:rPr>
          <w:sz w:val="20"/>
          <w:szCs w:val="20"/>
          <w:color w:val="auto"/>
        </w:rPr>
      </w:pPr>
    </w:p>
    <w:p>
      <w:pPr>
        <w:jc w:val="both"/>
        <w:ind w:firstLine="1944"/>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5.4.4 </w:t>
      </w:r>
      <w:r>
        <w:rPr>
          <w:rFonts w:ascii="Times New Roman" w:cs="Times New Roman" w:eastAsia="Times New Roman" w:hAnsi="Times New Roman"/>
          <w:sz w:val="22"/>
          <w:szCs w:val="22"/>
          <w:color w:val="auto"/>
        </w:rPr>
        <w:t>The Company shall have full and final authority, which shall be exercised in its discretion,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47"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5.5 </w:t>
      </w:r>
      <w:r>
        <w:rPr>
          <w:rFonts w:ascii="Times New Roman" w:cs="Times New Roman" w:eastAsia="Times New Roman" w:hAnsi="Times New Roman"/>
          <w:sz w:val="22"/>
          <w:szCs w:val="22"/>
          <w:b w:val="1"/>
          <w:bCs w:val="1"/>
          <w:u w:val="single" w:color="auto"/>
          <w:color w:val="auto"/>
        </w:rPr>
        <w:t>Required Release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provision of this Agreement to the contrary,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to provide the payments, acceleration, exercise extension and reimbursements under Sections 5.2 and 5.3 is conditioned upon Executive’s execution of a standard form of an enforceable release of claims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and Executive’s compliance with the Restrictive Covenant Agreement. If Executive chooses not to execute such the Release or fails to comply with the Restrictive Covenant Agreement, then the Company’s obligation to compensate Executive ceases on the Separation Date except as to amounts due at the time. The Release shall be provided to Executive within ten (10) days of Executive’s separation from service and Executive must execute it within the time period specified in the Release (which shall not be longer than forty-five (45) days from the date of receipt). Such Release shall not be effective until any applicable revocation period has expired (the “</w:t>
      </w:r>
      <w:r>
        <w:rPr>
          <w:rFonts w:ascii="Times New Roman" w:cs="Times New Roman" w:eastAsia="Times New Roman" w:hAnsi="Times New Roman"/>
          <w:sz w:val="22"/>
          <w:szCs w:val="22"/>
          <w:u w:val="single" w:color="auto"/>
          <w:color w:val="auto"/>
        </w:rPr>
        <w:t>Release Effective Date</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5.6 </w:t>
      </w:r>
      <w:r>
        <w:rPr>
          <w:rFonts w:ascii="Times New Roman" w:cs="Times New Roman" w:eastAsia="Times New Roman" w:hAnsi="Times New Roman"/>
          <w:sz w:val="22"/>
          <w:szCs w:val="22"/>
          <w:b w:val="1"/>
          <w:bCs w:val="1"/>
          <w:u w:val="single" w:color="auto"/>
          <w:color w:val="auto"/>
        </w:rPr>
        <w:t>Benefits in Lieu of Other 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is not entitled to receive any compensation or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Executive’s termination except as: (i) set forth in this Agreement; (ii) otherwise required by law; or (iii) otherwise required by any employee benefit plan in which Executive participates. Moreover, the terms and conditions afforded Executive under this Agreement are in lieu of any severance benefits to which Executive otherwise might be entitled pursuant to any severance plan, policy and practice of the Company.</w:t>
      </w:r>
    </w:p>
    <w:p>
      <w:pPr>
        <w:spacing w:after="0" w:line="147" w:lineRule="exact"/>
        <w:rPr>
          <w:sz w:val="20"/>
          <w:szCs w:val="20"/>
          <w:color w:val="auto"/>
        </w:rPr>
      </w:pPr>
    </w:p>
    <w:p>
      <w:pPr>
        <w:jc w:val="both"/>
        <w:ind w:firstLine="656"/>
        <w:spacing w:after="0" w:line="214" w:lineRule="auto"/>
        <w:tabs>
          <w:tab w:leader="none" w:pos="1296"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condition of continued employment, Executive will continue to be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Proprietary Information, Inventions, Non-Competition and Non-Solicitation Agreement, which the Executive previously executed (the “</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Executive agrees to continue to abide by the terms of the Restrictive Covenant Agreement, or any other subsequent agreement with the Company relating to proprietary information, inventions, intellectual property, non-competition or non-solicitation, the terms of which are hereby incorporated by reference into this Agreement. Executive acknowledges that the provisions of the Restrictive Covenant Agreement, or any subsequent similar agreement, will survive the termination of Executive's employment and/or the termination of this Agreement.</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12" w:lineRule="auto"/>
        <w:tabs>
          <w:tab w:leader="none" w:pos="1296"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COMPANY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termination of Executive’s employment or upon Company’s earlier request,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(i) deliver to the Company all records, memoranda, data, documents and other property of any description which refer or relate in any way to trade secrets or confidential information, including all copies thereof, which are in Executive’s possession, custody or control; (ii) deliver to the Company all Company property (including, but not limited to, keys, credit cards, customer files, contracts, proposals, work in process, manuals, forms, computer-stored work in process and other computer data, research materials, other items of business information concerning any Company customer, or Company business or business methods, including all copies thereof) which is in Executive’s possession, custody or control; (iii) bring all such records, files and other materials up to date before returning them; and (iv) fully cooperate with the Company in winding up Executive’s work and transferring that work to other individuals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386" w:lineRule="exact"/>
        <w:rPr>
          <w:sz w:val="20"/>
          <w:szCs w:val="20"/>
          <w:color w:val="auto"/>
        </w:rPr>
      </w:pPr>
    </w:p>
    <w:p>
      <w:pPr>
        <w:jc w:val="both"/>
        <w:ind w:firstLine="656"/>
        <w:spacing w:after="0" w:line="227" w:lineRule="auto"/>
        <w:tabs>
          <w:tab w:leader="none" w:pos="1296" w:val="left"/>
        </w:tabs>
        <w:numPr>
          <w:ilvl w:val="1"/>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EMPLOYEE REPRESENTATION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represents and warrants that Executive’s employment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under this Agreement will not (i) breach any duty or obligation Executive owes to another or (ii) violate any law, recognized ethics standard or recognized business custom.</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14" w:lineRule="auto"/>
        <w:tabs>
          <w:tab w:leader="none" w:pos="1296" w:val="left"/>
        </w:tabs>
        <w:numPr>
          <w:ilvl w:val="1"/>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 WAIVERS</w:t>
      </w:r>
      <w:r>
        <w:rPr>
          <w:rFonts w:ascii="Times New Roman" w:cs="Times New Roman" w:eastAsia="Times New Roman" w:hAnsi="Times New Roman"/>
          <w:sz w:val="22"/>
          <w:szCs w:val="22"/>
          <w:color w:val="auto"/>
        </w:rPr>
        <w:t>. This Agreement may not be modified, amended, or terminated except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19" w:lineRule="auto"/>
        <w:tabs>
          <w:tab w:leader="none" w:pos="1296" w:val="left"/>
        </w:tabs>
        <w:numPr>
          <w:ilvl w:val="1"/>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expressly provided in this Agreement, this Agreement: (i) supersedes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cancels all other understandings and agreements, oral or written, with respect to Executive’s employment with the Company, including the Prior Employment Agreement; (ii) supersedes all other understandings and agreements, oral or written, between the parties with respect to the subject matter of this Agreement; and (iii) constitutes the sole agreement between the parties with respect to this subject matter. Each party acknowledges that: (i) no representations, inducements, promises or agreements, oral or written, have been made by any party or by anyone acting on behalf of any party, which are not embodied in this Agreement; and</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35" w:lineRule="auto"/>
        <w:tabs>
          <w:tab w:leader="none" w:pos="35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agreement, statement or promise not contained in this Agreement shall be valid. No change or modification of this Agreement shall be valid or binding upon the parties unless such change or modification is in writing and is signed by the parties.</w:t>
      </w:r>
    </w:p>
    <w:p>
      <w:pPr>
        <w:spacing w:after="0" w:line="147" w:lineRule="exact"/>
        <w:rPr>
          <w:rFonts w:ascii="Times New Roman" w:cs="Times New Roman" w:eastAsia="Times New Roman" w:hAnsi="Times New Roman"/>
          <w:sz w:val="21"/>
          <w:szCs w:val="21"/>
          <w:color w:val="auto"/>
        </w:rPr>
      </w:pPr>
    </w:p>
    <w:p>
      <w:pPr>
        <w:jc w:val="both"/>
        <w:ind w:firstLine="656"/>
        <w:spacing w:after="0" w:line="227" w:lineRule="auto"/>
        <w:tabs>
          <w:tab w:leader="none" w:pos="1284"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 court of competent jurisdiction holds that any provision or sub-part thereof contained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invalid, illegal, or unenforceable, that invalidity, illegality, or unenforceability shall not affect any other provision in this Agreement.</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14" w:lineRule="auto"/>
        <w:tabs>
          <w:tab w:leader="none" w:pos="1296"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 AND SUCCESSORS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may assign its rights and obligations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6" w:lineRule="auto"/>
        <w:tabs>
          <w:tab w:leader="none" w:pos="1296" w:val="left"/>
        </w:tabs>
        <w:numPr>
          <w:ilvl w:val="1"/>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shall be construed, interpreted, and governed in accordance with and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North Carolina law and the applicable provisions of federal law (“</w:t>
      </w:r>
      <w:r>
        <w:rPr>
          <w:rFonts w:ascii="Times New Roman" w:cs="Times New Roman" w:eastAsia="Times New Roman" w:hAnsi="Times New Roman"/>
          <w:sz w:val="21"/>
          <w:szCs w:val="21"/>
          <w:u w:val="single" w:color="auto"/>
          <w:color w:val="auto"/>
        </w:rPr>
        <w:t>Applicable Federal Law</w:t>
      </w:r>
      <w:r>
        <w:rPr>
          <w:rFonts w:ascii="Times New Roman" w:cs="Times New Roman" w:eastAsia="Times New Roman" w:hAnsi="Times New Roman"/>
          <w:sz w:val="21"/>
          <w:szCs w:val="21"/>
          <w:color w:val="auto"/>
        </w:rPr>
        <w:t>”). Any and all claims, controversies, and causes of action arising out of or relating to this Agreement, whether sounding in contract, tort, or statute, shall be governed by the laws of the state of North Carolina, including its statutes of limitations, except for Applicable Federal Law, without giving effect to any North Carolina conflict-of-laws rule that would result in the application of the laws of a different jurisdiction. Both Executive and the Company acknowledge and agree that the state or federal courts located in North Carolina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p>
    <w:p>
      <w:pPr>
        <w:spacing w:after="0" w:line="39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personal jurisdiction over them and over any dispute arising under this Agreement, and both Executive and the Company irrevocably consent to the jurisdiction of such courts.</w:t>
      </w:r>
    </w:p>
    <w:p>
      <w:pPr>
        <w:spacing w:after="0" w:line="146" w:lineRule="exact"/>
        <w:rPr>
          <w:sz w:val="20"/>
          <w:szCs w:val="20"/>
          <w:color w:val="auto"/>
        </w:rPr>
      </w:pPr>
    </w:p>
    <w:p>
      <w:pPr>
        <w:ind w:firstLine="656"/>
        <w:spacing w:after="0" w:line="238" w:lineRule="auto"/>
        <w:tabs>
          <w:tab w:leader="none" w:pos="1296"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counterparts, each of which shall be an original,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same effect as if the signatures affixed thereto were upon the same instrument.</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6"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request, claim, demand, document and other communication hereunder to any Party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effective upon receipt (or refusal of receipt) and shall be in writing and delivered personally or sent by facsimile or certified or registered mail, postage prepaid, as follows:</w:t>
      </w:r>
    </w:p>
    <w:p>
      <w:pPr>
        <w:spacing w:after="0" w:line="14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15.1</w:t>
      </w:r>
      <w:r>
        <w:rPr>
          <w:sz w:val="20"/>
          <w:szCs w:val="20"/>
          <w:color w:val="auto"/>
        </w:rPr>
        <w:tab/>
      </w:r>
      <w:r>
        <w:rPr>
          <w:rFonts w:ascii="Times New Roman" w:cs="Times New Roman" w:eastAsia="Times New Roman" w:hAnsi="Times New Roman"/>
          <w:sz w:val="21"/>
          <w:szCs w:val="21"/>
          <w:color w:val="auto"/>
        </w:rPr>
        <w:t>If to the Company, to the General Counsel of the Company at the Company's headquarters,</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15.2</w:t>
      </w:r>
      <w:r>
        <w:rPr>
          <w:sz w:val="20"/>
          <w:szCs w:val="20"/>
          <w:color w:val="auto"/>
        </w:rPr>
        <w:tab/>
      </w:r>
      <w:r>
        <w:rPr>
          <w:rFonts w:ascii="Times New Roman" w:cs="Times New Roman" w:eastAsia="Times New Roman" w:hAnsi="Times New Roman"/>
          <w:sz w:val="21"/>
          <w:szCs w:val="21"/>
          <w:color w:val="auto"/>
        </w:rPr>
        <w:t>If to Executive, to the last address that the Company has in its personnel records for Executive, or</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15.3</w:t>
      </w:r>
      <w:r>
        <w:rPr>
          <w:sz w:val="20"/>
          <w:szCs w:val="20"/>
          <w:color w:val="auto"/>
        </w:rPr>
        <w:tab/>
      </w:r>
      <w:r>
        <w:rPr>
          <w:rFonts w:ascii="Times New Roman" w:cs="Times New Roman" w:eastAsia="Times New Roman" w:hAnsi="Times New Roman"/>
          <w:sz w:val="21"/>
          <w:szCs w:val="21"/>
          <w:color w:val="auto"/>
        </w:rPr>
        <w:t>At any other address as any Party shall have specified by notice in writing to the other Party.</w:t>
      </w:r>
    </w:p>
    <w:p>
      <w:pPr>
        <w:spacing w:after="0" w:line="179" w:lineRule="exact"/>
        <w:rPr>
          <w:sz w:val="20"/>
          <w:szCs w:val="20"/>
          <w:color w:val="auto"/>
        </w:rPr>
      </w:pPr>
    </w:p>
    <w:p>
      <w:pPr>
        <w:jc w:val="both"/>
        <w:ind w:firstLine="656"/>
        <w:spacing w:after="0" w:line="220" w:lineRule="auto"/>
        <w:tabs>
          <w:tab w:leader="none" w:pos="1296"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SECTION 409A OF THE INTERNAL REVENUE CODE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intend that the provisions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comply with or are exempt from Section 409A of the Internal Revenue Code of 1986, as amended (the “Code”), and the regulations thereunder (collectively, “Section 409A”) and all provisions of this Agreement shall be construed in a manner consistent with the requirements for avoiding taxes or penalties under Section 409A. If any provision of this Agreement (or of any award of compensation, including equity compensation or benefits) would cause Executive to incur any additional tax or interest under Section 409A, the Company shall, upon the specific request of Executive, use its reasonable business efforts to in good faith reform such provision to comply with Code Section 409A; provided, that to the maximum extent practicable, the original intent and economic benefit to Executive and the Company of the applicable provision shall be maintained, and the Company shall have no obligation to make any changes that could create any additional economic cost or loss of benefit to the Company. The Company shall timely use its reasonable business efforts to amend any plans and programs in which Executive participates to bring it in compliance with Section 409A. Notwithstanding the foregoing, the Company shall have no liability with regard to any failure to comply with Section 409A so long as it has acted in good faith with regard to compliance therewith.</w:t>
      </w:r>
    </w:p>
    <w:p>
      <w:pPr>
        <w:spacing w:after="0" w:line="152"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16.1 </w:t>
      </w:r>
      <w:r>
        <w:rPr>
          <w:rFonts w:ascii="Times New Roman" w:cs="Times New Roman" w:eastAsia="Times New Roman" w:hAnsi="Times New Roman"/>
          <w:sz w:val="22"/>
          <w:szCs w:val="22"/>
          <w:b w:val="1"/>
          <w:bCs w:val="1"/>
          <w:u w:val="single" w:color="auto"/>
          <w:color w:val="auto"/>
        </w:rPr>
        <w:t>Separation from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termination of employment shall not be deemed to have occurred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purposes of any provision of this Agreement providing for the payment of any amounts or benefits upon or following a termination of employment unless such termination also constitutes a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within the meaning of Section 409A and, for purposes of any such provision of this Agreement, references to a “termination,” “termination of employment,” “separation from service” or like terms shall mean Separation from Service.</w:t>
      </w:r>
    </w:p>
    <w:p>
      <w:pPr>
        <w:spacing w:after="0" w:line="14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16.2 </w:t>
      </w:r>
      <w:r>
        <w:rPr>
          <w:rFonts w:ascii="Times New Roman" w:cs="Times New Roman" w:eastAsia="Times New Roman" w:hAnsi="Times New Roman"/>
          <w:sz w:val="22"/>
          <w:szCs w:val="22"/>
          <w:b w:val="1"/>
          <w:bCs w:val="1"/>
          <w:u w:val="single" w:color="auto"/>
          <w:color w:val="auto"/>
        </w:rPr>
        <w:t>Separate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installment payment required under this Agreement shall be considered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separate payment for purposes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38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16.3 </w:t>
      </w:r>
      <w:r>
        <w:rPr>
          <w:rFonts w:ascii="Times New Roman" w:cs="Times New Roman" w:eastAsia="Times New Roman" w:hAnsi="Times New Roman"/>
          <w:sz w:val="21"/>
          <w:szCs w:val="21"/>
          <w:b w:val="1"/>
          <w:bCs w:val="1"/>
          <w:u w:val="single" w:color="auto"/>
          <w:color w:val="auto"/>
        </w:rPr>
        <w:t>Delayed Distribution to Specified 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the Company determines in accordance with Sections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409A and 416(i) of the Code and the regulations promulgated thereunder, in the Company’s sole discretion, that Executive is a Specified Employee of the Company on the date Executive’s employment with the Company terminates and that a delay in benefits provided under this Agreement is necessary to comply with Code Section 409A(A)(2)(B)(i), then any severance payments and any continuation of benefits or reimbursement of benefit costs provided by this Agreement, and not otherwise exempt from Section 409A, shall be delayed for a period of six (6) months following the Separation Date (the “409A Delay Period”). In such event, any severance payments and the cost of any continuation of benefits provided under this Agreement that would otherwise be due and payable to Executive during the 409A Delay Period shall be paid to Executive in a lump sum cash amount in the month following the end of the 409A Delay Period. For purposes of this Agreement, “Specified Employee” shall mean an employee who, on an Identification Date (“</w:t>
      </w:r>
      <w:r>
        <w:rPr>
          <w:rFonts w:ascii="Times New Roman" w:cs="Times New Roman" w:eastAsia="Times New Roman" w:hAnsi="Times New Roman"/>
          <w:sz w:val="21"/>
          <w:szCs w:val="21"/>
          <w:u w:val="single" w:color="auto"/>
          <w:color w:val="auto"/>
        </w:rPr>
        <w:t>Identification Date</w:t>
      </w:r>
      <w:r>
        <w:rPr>
          <w:rFonts w:ascii="Times New Roman" w:cs="Times New Roman" w:eastAsia="Times New Roman" w:hAnsi="Times New Roman"/>
          <w:sz w:val="21"/>
          <w:szCs w:val="21"/>
          <w:color w:val="auto"/>
        </w:rPr>
        <w:t>” shall mean each December 31) is a specified employee as defined in Section 416(i) of the Code without regard to paragraph (5) thereof. If Executive is identified as a Specified Employee on an Identification Date, then Executive shall be considered a Specified Employee for purposes of this Agreement during the period beginning on the first April 1 following the Identification Date and ending on the following March 31.</w:t>
      </w:r>
    </w:p>
    <w:p>
      <w:pPr>
        <w:spacing w:after="0" w:line="146"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16.4 </w:t>
      </w:r>
      <w:r>
        <w:rPr>
          <w:rFonts w:ascii="Times New Roman" w:cs="Times New Roman" w:eastAsia="Times New Roman" w:hAnsi="Times New Roman"/>
          <w:sz w:val="22"/>
          <w:szCs w:val="22"/>
          <w:b w:val="1"/>
          <w:bCs w:val="1"/>
          <w:u w:val="single" w:color="auto"/>
          <w:color w:val="auto"/>
        </w:rPr>
        <w:t>Reimbursements</w:t>
      </w:r>
      <w:r>
        <w:rPr>
          <w:rFonts w:ascii="Times New Roman" w:cs="Times New Roman" w:eastAsia="Times New Roman" w:hAnsi="Times New Roman"/>
          <w:sz w:val="22"/>
          <w:szCs w:val="22"/>
          <w:color w:val="auto"/>
        </w:rPr>
        <w:t>. To the extent required by Section 409A, each reimbursement or in-kind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under this Agreement shall be provided in accordance with the following: (a) the amount of expenses eligible for reimbursement, or in-kind benefits provided, during each calendar year cannot affect the expenses eligible for reimbursement, or in-kind benefits to be provided, in any other calendar year; (b) any reimbursement of an eligible expense shall be paid to Executive on or before the last day of the calendar year following the calendar year in which the expense was incurred; and (c) any right to reimbursements or in-kind benefits under this Agreement shall not be subject to liquidation or exchange for another benefit.</w:t>
      </w:r>
    </w:p>
    <w:p>
      <w:pPr>
        <w:spacing w:after="0" w:line="149" w:lineRule="exact"/>
        <w:rPr>
          <w:sz w:val="20"/>
          <w:szCs w:val="20"/>
          <w:color w:val="auto"/>
        </w:rPr>
      </w:pPr>
    </w:p>
    <w:p>
      <w:pPr>
        <w:jc w:val="both"/>
        <w:ind w:firstLine="656"/>
        <w:spacing w:after="0" w:line="210" w:lineRule="auto"/>
        <w:tabs>
          <w:tab w:leader="none" w:pos="1296"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PARACHUTE PAYMENTS</w:t>
      </w:r>
      <w:r>
        <w:rPr>
          <w:rFonts w:ascii="Times New Roman" w:cs="Times New Roman" w:eastAsia="Times New Roman" w:hAnsi="Times New Roman"/>
          <w:sz w:val="22"/>
          <w:szCs w:val="22"/>
          <w:color w:val="auto"/>
        </w:rPr>
        <w:t>. Notwithstanding any other provisions of this Agreement or any Company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Section 5 hereof, being hereinafter referred to as the "</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would be subject (in whole or in part)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Total Payments shall be reduced (in the order provided in Section 16.1)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17.1 </w:t>
      </w:r>
      <w:r>
        <w:rPr>
          <w:rFonts w:ascii="Times New Roman" w:cs="Times New Roman" w:eastAsia="Times New Roman" w:hAnsi="Times New Roman"/>
          <w:sz w:val="22"/>
          <w:szCs w:val="22"/>
          <w:b w:val="1"/>
          <w:bCs w:val="1"/>
          <w:u w:val="single" w:color="auto"/>
          <w:color w:val="auto"/>
        </w:rPr>
        <w:t>Order of Reduction</w:t>
      </w:r>
      <w:r>
        <w:rPr>
          <w:rFonts w:ascii="Times New Roman" w:cs="Times New Roman" w:eastAsia="Times New Roman" w:hAnsi="Times New Roman"/>
          <w:sz w:val="22"/>
          <w:szCs w:val="22"/>
          <w:color w:val="auto"/>
        </w:rPr>
        <w:t>. The Total Payments shall be reduced in the following order: (i) reduction on a pro-rata basis of any cash severance payments that are exempt from Section 409A of the Code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(ii) reduction on a pro-rata basis of any non-cash severance payments or benefits that are exempt from Section 409A, (iii) reduction on a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0" w:lineRule="exact"/>
        <w:rPr>
          <w:sz w:val="20"/>
          <w:szCs w:val="20"/>
          <w:color w:val="auto"/>
        </w:rPr>
      </w:pPr>
    </w:p>
    <w:p>
      <w:pPr>
        <w:spacing w:after="0" w:line="39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48"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17.2 </w:t>
      </w:r>
      <w:r>
        <w:rPr>
          <w:rFonts w:ascii="Times New Roman" w:cs="Times New Roman" w:eastAsia="Times New Roman" w:hAnsi="Times New Roman"/>
          <w:sz w:val="22"/>
          <w:szCs w:val="22"/>
          <w:b w:val="1"/>
          <w:bCs w:val="1"/>
          <w:u w:val="single" w:color="auto"/>
          <w:color w:val="auto"/>
        </w:rPr>
        <w:t>Determinations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determinations regarding the application of this Section 17 shall be made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firm or consulting group with experience in performing calculations regarding the applicability of Section 280G of the Code and the Excise Tax selected by the Company (the "</w:t>
      </w:r>
      <w:r>
        <w:rPr>
          <w:rFonts w:ascii="Times New Roman" w:cs="Times New Roman" w:eastAsia="Times New Roman" w:hAnsi="Times New Roman"/>
          <w:sz w:val="22"/>
          <w:szCs w:val="22"/>
          <w:u w:val="single" w:color="auto"/>
          <w:color w:val="auto"/>
        </w:rPr>
        <w:t>Independent Advisors</w:t>
      </w:r>
      <w:r>
        <w:rPr>
          <w:rFonts w:ascii="Times New Roman" w:cs="Times New Roman" w:eastAsia="Times New Roman" w:hAnsi="Times New Roman"/>
          <w:sz w:val="22"/>
          <w:szCs w:val="22"/>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4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17.3 </w:t>
      </w:r>
      <w:r>
        <w:rPr>
          <w:rFonts w:ascii="Times New Roman" w:cs="Times New Roman" w:eastAsia="Times New Roman" w:hAnsi="Times New Roman"/>
          <w:sz w:val="22"/>
          <w:szCs w:val="22"/>
          <w:b w:val="1"/>
          <w:bCs w:val="1"/>
          <w:u w:val="single" w:color="auto"/>
          <w:color w:val="auto"/>
        </w:rPr>
        <w:t>Additional Reductions.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it is later determined that a greater reduction in the Total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should have been made to implement the objective and intent of this Section 17, the excess amount shall be returned promptly by Executive to the Company.</w:t>
      </w:r>
    </w:p>
    <w:p>
      <w:pPr>
        <w:spacing w:after="0" w:line="146" w:lineRule="exact"/>
        <w:rPr>
          <w:sz w:val="20"/>
          <w:szCs w:val="20"/>
          <w:color w:val="auto"/>
        </w:rPr>
      </w:pPr>
    </w:p>
    <w:p>
      <w:pPr>
        <w:ind w:right="20" w:firstLine="656"/>
        <w:spacing w:after="0" w:line="238" w:lineRule="auto"/>
        <w:tabs>
          <w:tab w:leader="none" w:pos="1296"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The Company shall be entitled to withhold from any amounts payable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federal, state, local or foreign withholding or other taxes or charges which the Company is required to withhold.</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14" w:lineRule="auto"/>
        <w:tabs>
          <w:tab w:leader="none" w:pos="1296"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color w:val="auto"/>
        </w:rPr>
        <w:t>. If any law, rule, or regulation applicable to the Company or its Subsidiaries (including any rule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 of any nationally recognized stock exchange on which the stock of the Company or its Subsidiaries is listed), or any policy of the Company or its Subsidiaries reasonably designed to comply therewith, requires the forfeiture or recoupment of any amount paid or payable to the Executive hereunder (or under any other agreement between the Executive and the Company or its Subsidiaries or under any plan in which the Executive participates, or otherwise payable to the Executive as compensation for services), the Executive hereby consents to such forfeiture or recoupment, in each case in the time and manner determined by the Company in its reasonable good faith discretion (collectively, the “</w:t>
      </w: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for Employment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entered into this Agreement on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NARESH TANNA</w:t>
      </w:r>
    </w:p>
    <w:p>
      <w:pPr>
        <w:spacing w:after="0" w:line="200" w:lineRule="exact"/>
        <w:rPr>
          <w:sz w:val="20"/>
          <w:szCs w:val="20"/>
          <w:color w:val="auto"/>
        </w:rPr>
      </w:pPr>
    </w:p>
    <w:p>
      <w:pPr>
        <w:spacing w:after="0" w:line="29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/s/ Naresh Tanna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PRECISION BIOSCIENCES, INC.</w:t>
      </w:r>
    </w:p>
    <w:p>
      <w:pPr>
        <w:spacing w:after="0" w:line="26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/s/ Michael Amoroso</w:t>
      </w:r>
    </w:p>
    <w:p>
      <w:pPr>
        <w:spacing w:after="0" w:line="24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By: Michael Amoroso</w:t>
      </w:r>
    </w:p>
    <w:p>
      <w:pPr>
        <w:spacing w:after="0" w:line="24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9660"/>
          </w:cols>
          <w:pgMar w:left="980" w:top="1440" w:right="125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Amoroso, certify that:</w:t>
      </w:r>
    </w:p>
    <w:p>
      <w:pPr>
        <w:spacing w:after="0" w:line="225" w:lineRule="exact"/>
        <w:rPr>
          <w:sz w:val="20"/>
          <w:szCs w:val="20"/>
          <w:color w:val="auto"/>
        </w:rPr>
      </w:pPr>
    </w:p>
    <w:p>
      <w:pPr>
        <w:ind w:left="1140" w:hanging="1132"/>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2026 of Precision BioSciences, Inc.;</w:t>
      </w:r>
    </w:p>
    <w:p>
      <w:pPr>
        <w:spacing w:after="0" w:line="225"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60" w:hanging="1132"/>
        <w:spacing w:after="0" w:line="276" w:lineRule="auto"/>
        <w:tabs>
          <w:tab w:leader="none" w:pos="11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1138"/>
        <w:spacing w:after="0" w:line="266" w:lineRule="auto"/>
        <w:tabs>
          <w:tab w:leader="none" w:pos="227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hanging="1138"/>
        <w:spacing w:after="0" w:line="266" w:lineRule="auto"/>
        <w:tabs>
          <w:tab w:leader="none" w:pos="227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00" w:hanging="1132"/>
        <w:spacing w:after="0" w:line="266"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6340" w:val="left"/>
          <w:tab w:leader="none" w:pos="824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Amoroso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34290</wp:posOffset>
            </wp:positionV>
            <wp:extent cx="28200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66"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Michael Amoroso</w:t>
      </w:r>
    </w:p>
    <w:p>
      <w:pPr>
        <w:spacing w:after="0" w:line="77"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79"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Naresh Tanna, certify that:</w:t>
      </w:r>
    </w:p>
    <w:p>
      <w:pPr>
        <w:spacing w:after="0" w:line="225" w:lineRule="exact"/>
        <w:rPr>
          <w:sz w:val="20"/>
          <w:szCs w:val="20"/>
          <w:color w:val="auto"/>
        </w:rPr>
      </w:pPr>
    </w:p>
    <w:p>
      <w:pPr>
        <w:ind w:left="1140" w:hanging="1132"/>
        <w:spacing w:after="0"/>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2026 of Precision BioSciences, Inc.;</w:t>
      </w:r>
    </w:p>
    <w:p>
      <w:pPr>
        <w:spacing w:after="0" w:line="225"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60" w:hanging="1132"/>
        <w:spacing w:after="0" w:line="276" w:lineRule="auto"/>
        <w:tabs>
          <w:tab w:leader="none" w:pos="11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1138"/>
        <w:spacing w:after="0" w:line="266" w:lineRule="auto"/>
        <w:tabs>
          <w:tab w:leader="none" w:pos="227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hanging="1138"/>
        <w:spacing w:after="0" w:line="266" w:lineRule="auto"/>
        <w:tabs>
          <w:tab w:leader="none" w:pos="22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00" w:hanging="1132"/>
        <w:spacing w:after="0" w:line="266"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6340" w:val="left"/>
          <w:tab w:leader="none" w:pos="840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Naresh Tanna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34290</wp:posOffset>
            </wp:positionV>
            <wp:extent cx="28200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66"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Naresh Tanna</w:t>
      </w:r>
    </w:p>
    <w:p>
      <w:pPr>
        <w:spacing w:after="0" w:line="77"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9"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43"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Precision BioSciences, Inc. (the “Company”) on Form 10-Q for the quarterly period ended September 30,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2260" w:hanging="1118"/>
        <w:spacing w:after="0"/>
        <w:tabs>
          <w:tab w:leader="none" w:pos="2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2280" w:right="560" w:hanging="1138"/>
        <w:spacing w:after="0" w:line="282" w:lineRule="auto"/>
        <w:tabs>
          <w:tab w:leader="none" w:pos="227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6340" w:val="left"/>
          <w:tab w:leader="none" w:pos="826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Amoroso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34290</wp:posOffset>
            </wp:positionV>
            <wp:extent cx="28200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66"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Michael Amoroso</w:t>
      </w:r>
    </w:p>
    <w:p>
      <w:pPr>
        <w:spacing w:after="0" w:line="77"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79"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Precision BioSciences, Inc. (the “Company”) on Form 10-Q for the quarterly period ended September 30,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2260" w:hanging="1118"/>
        <w:spacing w:after="0"/>
        <w:tabs>
          <w:tab w:leader="none" w:pos="2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2280" w:right="560" w:hanging="1138"/>
        <w:spacing w:after="0" w:line="282" w:lineRule="auto"/>
        <w:tabs>
          <w:tab w:leader="none" w:pos="227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6340" w:val="left"/>
          <w:tab w:leader="none" w:pos="840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Naresh Tanna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34290</wp:posOffset>
            </wp:positionV>
            <wp:extent cx="28200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66"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Naresh Tanna</w:t>
      </w:r>
    </w:p>
    <w:p>
      <w:pPr>
        <w:spacing w:after="0" w:line="77"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9"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1."/>
      <w:numFmt w:val="upperLetter"/>
      <w:start w:val="1"/>
    </w:lvl>
    <w:lvl w:ilvl="1">
      <w:lvlJc w:val="left"/>
      <w:lvlText w:val="%2."/>
      <w:numFmt w:val="upperLetter"/>
      <w:start w:val="3"/>
    </w:lvl>
  </w:abstractNum>
  <w:abstractNum w:abstractNumId="46">
    <w:nsid w:val="47398C89"/>
    <w:multiLevelType w:val="hybridMultilevel"/>
    <w:lvl w:ilvl="0">
      <w:lvlJc w:val="left"/>
      <w:lvlText w:val="%1."/>
      <w:numFmt w:val="upperLetter"/>
      <w:start w:val="4"/>
    </w:lvl>
  </w:abstractNum>
  <w:abstractNum w:abstractNumId="47">
    <w:nsid w:val="354FE9F9"/>
    <w:multiLevelType w:val="hybridMultilevel"/>
    <w:lvl w:ilvl="0">
      <w:lvlJc w:val="left"/>
      <w:lvlText w:val="%1"/>
      <w:numFmt w:val="decimal"/>
      <w:start w:val="1"/>
    </w:lvl>
    <w:lvl w:ilvl="1">
      <w:lvlJc w:val="left"/>
      <w:lvlText w:val="%2."/>
      <w:numFmt w:val="decimal"/>
      <w:start w:val="1"/>
    </w:lvl>
  </w:abstractNum>
  <w:abstractNum w:abstractNumId="48">
    <w:nsid w:val="15B5AF5C"/>
    <w:multiLevelType w:val="hybridMultilevel"/>
    <w:lvl w:ilvl="0">
      <w:lvlJc w:val="left"/>
      <w:lvlText w:val="%1."/>
      <w:numFmt w:val="decimal"/>
      <w:start w:val="2"/>
    </w:lvl>
    <w:lvl w:ilvl="1">
      <w:lvlJc w:val="left"/>
      <w:lvlText w:val="%2"/>
      <w:numFmt w:val="decimal"/>
      <w:start w:val="1"/>
    </w:lvl>
  </w:abstractNum>
  <w:abstractNum w:abstractNumId="49">
    <w:nsid w:val="741226BB"/>
    <w:multiLevelType w:val="hybridMultilevel"/>
    <w:lvl w:ilvl="0">
      <w:lvlJc w:val="left"/>
      <w:lvlText w:val="%1"/>
      <w:numFmt w:val="lowerLetter"/>
      <w:start w:val="1"/>
    </w:lvl>
    <w:lvl w:ilvl="1">
      <w:lvlJc w:val="left"/>
      <w:lvlText w:val="%2."/>
      <w:numFmt w:val="lowerLetter"/>
      <w:start w:val="1"/>
    </w:lvl>
  </w:abstractNum>
  <w:abstractNum w:abstractNumId="50">
    <w:nsid w:val="D34B6A8"/>
    <w:multiLevelType w:val="hybridMultilevel"/>
    <w:lvl w:ilvl="0">
      <w:lvlJc w:val="left"/>
      <w:lvlText w:val="%1."/>
      <w:numFmt w:val="lowerLetter"/>
      <w:start w:val="2"/>
    </w:lvl>
    <w:lvl w:ilvl="1">
      <w:lvlJc w:val="left"/>
      <w:lvlText w:val="%2"/>
      <w:numFmt w:val="lowerLetter"/>
      <w:start w:val="1"/>
    </w:lvl>
  </w:abstractNum>
  <w:abstractNum w:abstractNumId="51">
    <w:nsid w:val="10233C99"/>
    <w:multiLevelType w:val="hybridMultilevel"/>
    <w:lvl w:ilvl="0">
      <w:lvlJc w:val="left"/>
      <w:lvlText w:val="%1."/>
      <w:numFmt w:val="decimal"/>
      <w:start w:val="3"/>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3"/>
    </w:lvl>
  </w:abstractNum>
  <w:abstractNum w:abstractNumId="54">
    <w:nsid w:val="7E0C57B1"/>
    <w:multiLevelType w:val="hybridMultilevel"/>
    <w:lvl w:ilvl="0">
      <w:lvlJc w:val="left"/>
      <w:lvlText w:val="%1."/>
      <w:numFmt w:val="decimal"/>
      <w:start w:val="4"/>
    </w:lvl>
  </w:abstractNum>
  <w:abstractNum w:abstractNumId="55">
    <w:nsid w:val="77AE35EB"/>
    <w:multiLevelType w:val="hybridMultilevel"/>
    <w:lvl w:ilvl="0">
      <w:lvlJc w:val="left"/>
      <w:lvlText w:val="(%1)"/>
      <w:numFmt w:val="decimal"/>
      <w:start w:val="90"/>
    </w:lvl>
    <w:lvl w:ilvl="1">
      <w:lvlJc w:val="left"/>
      <w:lvlText w:val="%2."/>
      <w:numFmt w:val="decimal"/>
      <w:start w:val="5"/>
    </w:lvl>
  </w:abstractNum>
  <w:abstractNum w:abstractNumId="56">
    <w:nsid w:val="579BE4F1"/>
    <w:multiLevelType w:val="hybridMultilevel"/>
    <w:lvl w:ilvl="0">
      <w:lvlJc w:val="left"/>
      <w:lvlText w:val="(%1)"/>
      <w:numFmt w:val="decimal"/>
      <w:start w:val="70"/>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lowerLetter"/>
      <w:start w:val="2"/>
    </w:lvl>
    <w:lvl w:ilvl="1">
      <w:lvlJc w:val="left"/>
      <w:lvlText w:val="(%2)"/>
      <w:numFmt w:val="lowerRoman"/>
      <w:start w:val="1"/>
    </w:lvl>
  </w:abstractNum>
  <w:abstractNum w:abstractNumId="59">
    <w:nsid w:val="2F305DEF"/>
    <w:multiLevelType w:val="hybridMultilevel"/>
    <w:lvl w:ilvl="0">
      <w:lvlJc w:val="left"/>
      <w:lvlText w:val="%1."/>
      <w:numFmt w:val="decimal"/>
      <w:start w:val="6"/>
    </w:lvl>
  </w:abstractNum>
  <w:abstractNum w:abstractNumId="60">
    <w:nsid w:val="25A70BF7"/>
    <w:multiLevelType w:val="hybridMultilevel"/>
    <w:lvl w:ilvl="0">
      <w:lvlJc w:val="left"/>
      <w:lvlText w:val="%1"/>
      <w:numFmt w:val="lowerRoman"/>
      <w:start w:val="1"/>
    </w:lvl>
    <w:lvl w:ilvl="1">
      <w:lvlJc w:val="left"/>
      <w:lvlText w:val="%2."/>
      <w:numFmt w:val="decimal"/>
      <w:start w:val="8"/>
    </w:lvl>
  </w:abstractNum>
  <w:abstractNum w:abstractNumId="61">
    <w:nsid w:val="1DBABF00"/>
    <w:multiLevelType w:val="hybridMultilevel"/>
    <w:lvl w:ilvl="0">
      <w:lvlJc w:val="left"/>
      <w:lvlText w:val="(%1)"/>
      <w:numFmt w:val="lowerRoman"/>
      <w:start w:val="2"/>
    </w:lvl>
    <w:lvl w:ilvl="1">
      <w:lvlJc w:val="left"/>
      <w:lvlText w:val="%2."/>
      <w:numFmt w:val="decimal"/>
      <w:start w:val="11"/>
    </w:lvl>
  </w:abstractNum>
  <w:abstractNum w:abstractNumId="62">
    <w:nsid w:val="4AD084E9"/>
    <w:multiLevelType w:val="hybridMultilevel"/>
    <w:lvl w:ilvl="0">
      <w:lvlJc w:val="left"/>
      <w:lvlText w:val="%1."/>
      <w:numFmt w:val="decimal"/>
      <w:start w:val="14"/>
    </w:lvl>
  </w:abstractNum>
  <w:abstractNum w:abstractNumId="63">
    <w:nsid w:val="1F48EAA1"/>
    <w:multiLevelType w:val="hybridMultilevel"/>
    <w:lvl w:ilvl="0">
      <w:lvlJc w:val="left"/>
      <w:lvlText w:val="%1."/>
      <w:numFmt w:val="decimal"/>
      <w:start w:val="16"/>
    </w:lvl>
  </w:abstractNum>
  <w:abstractNum w:abstractNumId="64">
    <w:nsid w:val="1381823A"/>
    <w:multiLevelType w:val="hybridMultilevel"/>
    <w:lvl w:ilvl="0">
      <w:lvlJc w:val="left"/>
      <w:lvlText w:val="%1."/>
      <w:numFmt w:val="decimal"/>
      <w:start w:val="17"/>
    </w:lvl>
  </w:abstractNum>
  <w:abstractNum w:abstractNumId="65">
    <w:nsid w:val="5DB70AE5"/>
    <w:multiLevelType w:val="hybridMultilevel"/>
    <w:lvl w:ilvl="0">
      <w:lvlJc w:val="left"/>
      <w:lvlText w:val="%1."/>
      <w:numFmt w:val="decimal"/>
      <w:start w:val="18"/>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36" Type="http://schemas.openxmlformats.org/officeDocument/2006/relationships/hyperlink" Target="https://www.sec.gov/Archives/edgar/data/1357874/000119312519094641/d727819dex31.htm" TargetMode="External"/><Relationship Id="rId137" Type="http://schemas.openxmlformats.org/officeDocument/2006/relationships/hyperlink" Target="https://www.sec.gov/Archives/edgar/data/1357874/000095017024014194/dtil-ex3_1.htm" TargetMode="External"/><Relationship Id="rId138" Type="http://schemas.openxmlformats.org/officeDocument/2006/relationships/hyperlink" Target="https://www.sec.gov/Archives/edgar/data/1357874/000162828026038220/dtil-proposedamendmenttoar.htm" TargetMode="External"/><Relationship Id="rId139" Type="http://schemas.openxmlformats.org/officeDocument/2006/relationships/hyperlink" Target="https://www.sec.gov/ix?doc=/Archives/edgar/data/0001357874/000095017023072457/dtil-202312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2026-11-03T07:17:34Z</dcterms:created>
  <dcterms:modified xsi:type="dcterms:W3CDTF">2026-11-03T07:17:34Z</dcterms:modified>
</cp:coreProperties>
</file>