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14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Precision BioSciences, Inc.</w:t>
      </w:r>
    </w:p>
    <w:p>
      <w:pPr>
        <w:spacing w:after="0" w:line="1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2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54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w:t>
            </w:r>
          </w:p>
        </w:tc>
        <w:tc>
          <w:tcPr>
            <w:tcW w:w="1420" w:type="dxa"/>
            <w:vAlign w:val="bottom"/>
          </w:tcPr>
          <w:p>
            <w:pPr>
              <w:spacing w:after="0"/>
              <w:rPr>
                <w:sz w:val="20"/>
                <w:szCs w:val="20"/>
                <w:color w:val="auto"/>
              </w:rPr>
            </w:pPr>
          </w:p>
        </w:tc>
      </w:tr>
      <w:tr>
        <w:trPr>
          <w:trHeight w:val="405"/>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001-38841</w:t>
            </w: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20-4206017</w:t>
            </w:r>
          </w:p>
        </w:tc>
      </w:tr>
      <w:tr>
        <w:trPr>
          <w:trHeight w:val="199"/>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20" w:type="dxa"/>
            <w:vAlign w:val="bottom"/>
          </w:tcPr>
          <w:p>
            <w:pPr>
              <w:jc w:val="center"/>
              <w:ind w:left="2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420" w:type="dxa"/>
            <w:vAlign w:val="bottom"/>
          </w:tcPr>
          <w:p>
            <w:pPr>
              <w:spacing w:after="0"/>
              <w:rPr>
                <w:sz w:val="15"/>
                <w:szCs w:val="15"/>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0"/>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302 East Pettigrew St.</w:t>
            </w:r>
          </w:p>
        </w:tc>
        <w:tc>
          <w:tcPr>
            <w:tcW w:w="5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A-100</w:t>
            </w:r>
          </w:p>
        </w:tc>
        <w:tc>
          <w:tcPr>
            <w:tcW w:w="5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5420" w:type="dxa"/>
            <w:vAlign w:val="bottom"/>
          </w:tcPr>
          <w:p>
            <w:pPr>
              <w:spacing w:after="0"/>
              <w:rPr>
                <w:sz w:val="23"/>
                <w:szCs w:val="23"/>
                <w:color w:val="auto"/>
              </w:rPr>
            </w:pPr>
          </w:p>
        </w:tc>
        <w:tc>
          <w:tcPr>
            <w:tcW w:w="142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27701</w:t>
            </w:r>
          </w:p>
        </w:tc>
      </w:tr>
      <w:tr>
        <w:trPr>
          <w:trHeight w:val="215"/>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420" w:type="dxa"/>
            <w:vAlign w:val="bottom"/>
          </w:tcPr>
          <w:p>
            <w:pPr>
              <w:spacing w:after="0"/>
              <w:rPr>
                <w:sz w:val="18"/>
                <w:szCs w:val="18"/>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919 314-5512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840" w:type="dxa"/>
            <w:vAlign w:val="bottom"/>
          </w:tcPr>
          <w:p>
            <w:pPr>
              <w:spacing w:after="0"/>
              <w:rPr>
                <w:sz w:val="18"/>
                <w:szCs w:val="18"/>
                <w:color w:val="auto"/>
              </w:rPr>
            </w:pPr>
          </w:p>
        </w:tc>
      </w:tr>
      <w:tr>
        <w:trPr>
          <w:trHeight w:val="238"/>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par value $0.000005 per share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DTIL</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238"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41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Precision BioSciences, Inc. (the “Company”) has updated its corporate deck, which is available in the “Investors” portion of the Company’s website at https://investor.precisionbiosciences.com.</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this Item 7.01 of this Form 8-K is being furnished and shall not be deemed “filed” for purposes of Section 18 of the Securities Exchange Act of 1934, as amended (the “Exchange Act”), or otherwise subject to the liabilities of that Section, nor shall it be deemed to be incorporated by reference into any registration statement or other filing of the Company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its updated corporate deck and as previously reported, the Company announced PBGENE-HBV clinical highlights from its ELIMINATE-B study for chronic hepatitis B, including liver biopsy data demonstrated that PBGENE-HBV directly eliminated cccDNA through its primary mechanism leading to a 1-log (10-fold) reduction in cccDNA-derived transcripts. The Company is targeting year-end 2026 for the next program update.</w:t>
      </w:r>
    </w:p>
    <w:p>
      <w:pPr>
        <w:spacing w:after="0" w:line="20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Also in its updated corporate deck, the Company announced activation of a second clinical site at Washington University School of Medicine in St. Louis, Missouri as it commences the FUNCTION-DMD clinical trial evaluating PBGENE-DMD for Duchenne muscular dystrophy with initial safety data targeted for year-end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without limitation, statements regarding expected program or data update, and commencement of the FUNCTION-DMD clinical trial. In some cases, you can identify forward-looking statements by terms such as “aim,” “anticipate,” “approach,” “believe,” “contemplate,” “could,” “estimate,” “expect,” “goal,” “intend,” “look,” “may,” “mission,” “plan,” “possible,” “potential,” “predict,” “project,” “pursue,” “should,” “target,” “will,” “would,” or the negative thereof and similar words and expressions. Such forward-looking statements involve known and unknown risks, uncertainties and other important factors, including, without limitation, the risks referred to under the section “Risk Factors” in the Company’s Annual Report on Form 10-K for the fiscal year ended December 31, 2025 and its Quarterly Reports on Form 10-Q for the quarterly period ended March 31, 2026, as such factors may be updated from time to time in the Company’s other filings with the Securities and Exchange Commission (“SEC”), which filings are accessible on the SEC’s website at www.sec.gov and the Investors &amp; Media page of the Company’s website. All forward-looking statements speak only as of the date of this Current Report on Form 8-K, and except as required by applicable law, we have no obligation to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020" w:hanging="959"/>
        <w:spacing w:after="0"/>
        <w:tabs>
          <w:tab w:leader="none" w:pos="2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PRECISION BIOSCIENCES, INC.</w:t>
      </w:r>
    </w:p>
    <w:p>
      <w:pPr>
        <w:spacing w:after="0" w:line="387" w:lineRule="exact"/>
        <w:rPr>
          <w:sz w:val="20"/>
          <w:szCs w:val="20"/>
          <w:color w:val="auto"/>
        </w:rPr>
      </w:pPr>
    </w:p>
    <w:p>
      <w:pPr>
        <w:ind w:left="20"/>
        <w:spacing w:after="0"/>
        <w:tabs>
          <w:tab w:leader="none" w:pos="620" w:val="left"/>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w:t>
        <w:tab/>
        <w:t>July 1, 2026</w:t>
      </w:r>
      <w:r>
        <w:rPr>
          <w:sz w:val="20"/>
          <w:szCs w:val="20"/>
          <w:color w:val="auto"/>
        </w:rPr>
        <w:tab/>
      </w:r>
      <w:r>
        <w:rPr>
          <w:rFonts w:ascii="Times New Roman" w:cs="Times New Roman" w:eastAsia="Times New Roman" w:hAnsi="Times New Roman"/>
          <w:sz w:val="18"/>
          <w:szCs w:val="18"/>
          <w:color w:val="auto"/>
        </w:rPr>
        <w:t>By:</w:t>
        <w:tab/>
        <w:t>/s/ John Alexander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John Alexander Kelly</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2026-07-01T06:18:15Z</dcterms:created>
  <dcterms:modified xsi:type="dcterms:W3CDTF">2026-07-01T06:18:15Z</dcterms:modified>
</cp:coreProperties>
</file>