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4"/>
              </w:rPr>
            </w:pPr>
            <w:r>
              <w:rPr>
                <w:rFonts w:ascii="Wingdings;sans-serif" w:hAnsi="Wingdings;sans-serif"/>
                <w:b/>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80"/>
        <w:ind w:left="0" w:right="0" w:hanging="644"/>
        <w:jc w:val="center"/>
        <w:rPr>
          <w:rFonts w:ascii="Times New Roman;serif" w:hAnsi="Times New Roman;serif"/>
          <w:b/>
          <w:color w:val="000000"/>
          <w:sz w:val="20"/>
        </w:rPr>
      </w:pPr>
      <w:r>
        <w:rPr>
          <w:rFonts w:ascii="Times New Roman;serif" w:hAnsi="Times New Roman;serif"/>
          <w:b/>
          <w:color w:val="000000"/>
          <w:sz w:val="20"/>
        </w:rPr>
        <w:t>For the transition period from _____ to 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001-38841</w:t>
      </w:r>
    </w:p>
    <w:p>
      <w:pPr>
        <w:pStyle w:val="TextBody"/>
        <w:bidi w:val="0"/>
        <w:spacing w:lineRule="auto" w:line="276"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Precision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76" w:before="0" w:after="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tbl>
      <w:tblPr>
        <w:tblW w:w="4514" w:type="dxa"/>
        <w:jc w:val="left"/>
        <w:tblInd w:w="0" w:type="dxa"/>
        <w:tblLayout w:type="fixed"/>
        <w:tblCellMar>
          <w:top w:w="28" w:type="dxa"/>
          <w:left w:w="28" w:type="dxa"/>
          <w:bottom w:w="28" w:type="dxa"/>
          <w:right w:w="28" w:type="dxa"/>
        </w:tblCellMar>
      </w:tblPr>
      <w:tblGrid>
        <w:gridCol w:w="1096"/>
        <w:gridCol w:w="960"/>
        <w:gridCol w:w="974"/>
        <w:gridCol w:w="433"/>
        <w:gridCol w:w="433"/>
        <w:gridCol w:w="618"/>
      </w:tblGrid>
      <w:tr>
        <w:trPr/>
        <w:tc>
          <w:tcPr>
            <w:tcW w:w="109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20-4206017</w:t>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302 East Pettigrew St., Suite A-100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Durham, North Carolina</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27701</w:t>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(919) 314-5512</w:t>
      </w:r>
    </w:p>
    <w:p>
      <w:pPr>
        <w:pStyle w:val="TextBody"/>
        <w:bidi w:val="0"/>
        <w:spacing w:lineRule="auto" w:line="288" w:before="0" w:after="8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76" w:before="0" w:after="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503" w:type="dxa"/>
        <w:jc w:val="left"/>
        <w:tblInd w:w="0" w:type="dxa"/>
        <w:tblLayout w:type="fixed"/>
        <w:tblCellMar>
          <w:top w:w="28" w:type="dxa"/>
          <w:left w:w="28" w:type="dxa"/>
          <w:bottom w:w="28" w:type="dxa"/>
          <w:right w:w="28" w:type="dxa"/>
        </w:tblCellMar>
      </w:tblPr>
      <w:tblGrid>
        <w:gridCol w:w="1253"/>
        <w:gridCol w:w="1102"/>
        <w:gridCol w:w="1110"/>
        <w:gridCol w:w="519"/>
        <w:gridCol w:w="519"/>
        <w:gridCol w:w="521"/>
        <w:gridCol w:w="1019"/>
        <w:gridCol w:w="1019"/>
        <w:gridCol w:w="1441"/>
      </w:tblGrid>
      <w:tr>
        <w:trPr/>
        <w:tc>
          <w:tcPr>
            <w:tcW w:w="1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46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$0.000005 per share</w:t>
            </w:r>
          </w:p>
        </w:tc>
        <w:tc>
          <w:tcPr>
            <w:tcW w:w="155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DTIL</w:t>
            </w:r>
          </w:p>
        </w:tc>
        <w:tc>
          <w:tcPr>
            <w:tcW w:w="347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Capital Market</w:t>
            </w:r>
          </w:p>
        </w:tc>
      </w:tr>
    </w:tbl>
    <w:p>
      <w:pPr>
        <w:pStyle w:val="TextBody"/>
        <w:bidi w:val="0"/>
        <w:spacing w:lineRule="auto" w:line="288" w:before="0" w:after="80"/>
        <w:ind w:left="0" w:right="0" w:firstLine="72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shd w:fill="FFFFFF" w:val="clear"/>
        </w:rPr>
        <w:t>x</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shd w:fill="FFFFFF" w:val="clear"/>
        </w:rPr>
        <w:t>o</w:t>
      </w:r>
    </w:p>
    <w:p>
      <w:pPr>
        <w:pStyle w:val="TextBody"/>
        <w:bidi w:val="0"/>
        <w:spacing w:lineRule="auto" w:line="288" w:before="0" w:after="80"/>
        <w:ind w:left="0" w:right="0" w:firstLine="72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shd w:fill="FFFFFF" w:val="clear"/>
        </w:rPr>
        <w:t>x</w:t>
      </w:r>
      <w:r>
        <w:rPr>
          <w:color w:val="000000"/>
        </w:rPr>
        <w:t>    </w:t>
      </w:r>
      <w:r>
        <w:rPr>
          <w:rFonts w:ascii="Times New Roman;serif" w:hAnsi="Times New Roman;serif"/>
          <w:b w:val="false"/>
          <w:color w:val="000000"/>
          <w:sz w:val="18"/>
        </w:rPr>
        <w:t xml:space="preserve">No   </w:t>
      </w:r>
      <w:r>
        <w:rPr>
          <w:rFonts w:ascii="Wingdings;sans-serif" w:hAnsi="Wingdings;sans-serif"/>
          <w:b w:val="false"/>
          <w:color w:val="000000"/>
          <w:sz w:val="18"/>
          <w:shd w:fill="FFFFFF" w:val="clear"/>
        </w:rPr>
        <w:t>o</w:t>
      </w:r>
    </w:p>
    <w:p>
      <w:pPr>
        <w:pStyle w:val="TextBody"/>
        <w:bidi w:val="0"/>
        <w:spacing w:before="0" w:after="80"/>
        <w:ind w:left="0" w:right="0" w:firstLine="72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58"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8"/>
              </w:rPr>
            </w:pPr>
            <w:r>
              <w:rPr>
                <w:rFonts w:ascii="Wingdings;sans-serif" w:hAnsi="Wingdings;sans-serif"/>
                <w:b w:val="false"/>
                <w:color w:val="000000"/>
                <w:sz w:val="18"/>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firstLine="72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shd w:fill="FFFFFF" w:val="clear"/>
        </w:rPr>
        <w:t>o</w:t>
      </w:r>
    </w:p>
    <w:p>
      <w:pPr>
        <w:pStyle w:val="TextBody"/>
        <w:bidi w:val="0"/>
        <w:spacing w:lineRule="auto" w:line="288" w:before="0" w:after="80"/>
        <w:ind w:left="0" w:right="0" w:firstLine="720"/>
        <w:jc w:val="left"/>
        <w:rPr/>
      </w:pPr>
      <w:r>
        <w:rPr>
          <w:rFonts w:ascii="Times New Roman;serif" w:hAnsi="Times New Roman;serif"/>
          <w:b w:val="false"/>
          <w:color w:val="000000"/>
          <w:sz w:val="18"/>
        </w:rPr>
        <w:t>Indicate by check mark whether the registrant is a shell company (as defined in Rule 12b-2 of the Exchange Act).   Yes  </w:t>
      </w:r>
      <w:r>
        <w:rPr>
          <w:rFonts w:ascii="Wingdings;sans-serif" w:hAnsi="Wingdings;sans-serif"/>
          <w:b w:val="false"/>
          <w:color w:val="000000"/>
          <w:sz w:val="18"/>
          <w:shd w:fill="FFFFFF" w:val="clear"/>
        </w:rPr>
        <w:t>o</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shd w:fill="FFFFFF" w:val="clear"/>
        </w:rPr>
        <w:t>x</w:t>
      </w:r>
    </w:p>
    <w:p>
      <w:pPr>
        <w:pStyle w:val="TextBody"/>
        <w:bidi w:val="0"/>
        <w:spacing w:lineRule="auto" w:line="288" w:before="0" w:after="16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As of August 3, 2026, the registrant had 27,601,554 shares of common stock, $0.000005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720"/>
                        <w:jc w:val="center"/>
                        <w:rPr/>
                      </w:pPr>
                      <w:r>
                        <w:rPr/>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759" w:type="dxa"/>
        <w:jc w:val="left"/>
        <w:tblInd w:w="0" w:type="dxa"/>
        <w:tblLayout w:type="fixed"/>
        <w:tblCellMar>
          <w:top w:w="28" w:type="dxa"/>
          <w:left w:w="28" w:type="dxa"/>
          <w:bottom w:w="28" w:type="dxa"/>
          <w:right w:w="28" w:type="dxa"/>
        </w:tblCellMar>
      </w:tblPr>
      <w:tblGrid>
        <w:gridCol w:w="320"/>
        <w:gridCol w:w="281"/>
        <w:gridCol w:w="283"/>
        <w:gridCol w:w="2453"/>
        <w:gridCol w:w="2453"/>
        <w:gridCol w:w="2458"/>
        <w:gridCol w:w="149"/>
        <w:gridCol w:w="149"/>
        <w:gridCol w:w="213"/>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10">
              <w:r>
                <w:rPr>
                  <w:rStyle w:val="InternetLink"/>
                  <w:rFonts w:ascii="Times New Roman;serif" w:hAnsi="Times New Roman;serif"/>
                  <w:b w:val="false"/>
                  <w:color w:val="0000FF"/>
                  <w:sz w:val="20"/>
                  <w:u w:val="single"/>
                </w:rPr>
                <w:t>Forward-Looking Statements</w:t>
              </w:r>
            </w:hyperlink>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right"/>
              <w:rPr/>
            </w:pPr>
            <w:hyperlink w:anchor="i9dc1ca7e708745d0b5fcd3670739fb84_10">
              <w:r>
                <w:rPr>
                  <w:rStyle w:val="InternetLink"/>
                  <w:rFonts w:ascii="Times New Roman;serif" w:hAnsi="Times New Roman;serif"/>
                  <w:b w:val="false"/>
                  <w:strike w:val="false"/>
                  <w:dstrike w:val="false"/>
                  <w:color w:val="000000"/>
                  <w:sz w:val="20"/>
                  <w:u w:val="none"/>
                  <w:effect w:val="none"/>
                </w:rPr>
                <w:t>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13">
              <w:r>
                <w:rPr>
                  <w:rStyle w:val="InternetLink"/>
                  <w:rFonts w:ascii="Times New Roman;serif" w:hAnsi="Times New Roman;serif"/>
                  <w:b w:val="false"/>
                  <w:color w:val="0000FF"/>
                  <w:sz w:val="20"/>
                  <w:u w:val="single"/>
                </w:rPr>
                <w:t>Risk Factor 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dc1ca7e708745d0b5fcd3670739fb84_13">
              <w:r>
                <w:rPr>
                  <w:rStyle w:val="InternetLink"/>
                  <w:rFonts w:ascii="Times New Roman;serif" w:hAnsi="Times New Roman;serif"/>
                  <w:b w:val="false"/>
                  <w:strike w:val="false"/>
                  <w:dstrike w:val="false"/>
                  <w:color w:val="000000"/>
                  <w:sz w:val="20"/>
                  <w:u w:val="none"/>
                  <w:effect w:val="none"/>
                </w:rPr>
                <w:t>5</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16">
              <w:r>
                <w:rPr>
                  <w:rStyle w:val="InternetLink"/>
                  <w:rFonts w:ascii="Times New Roman;serif" w:hAnsi="Times New Roman;serif"/>
                  <w:b/>
                  <w:strike w:val="false"/>
                  <w:dstrike w:val="false"/>
                  <w:color w:val="000000"/>
                  <w:sz w:val="20"/>
                  <w:u w:val="none"/>
                  <w:effect w:val="none"/>
                </w:rPr>
                <w:t>PART I.</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16">
              <w:r>
                <w:rPr>
                  <w:rStyle w:val="InternetLink"/>
                  <w:rFonts w:ascii="Times New Roman;serif" w:hAnsi="Times New Roman;serif"/>
                  <w:b w:val="false"/>
                  <w:color w:val="0000FF"/>
                  <w:sz w:val="20"/>
                  <w:u w:val="single"/>
                </w:rPr>
                <w:t>FINANCIAL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dc1ca7e708745d0b5fcd3670739fb84_16">
              <w:r>
                <w:rPr>
                  <w:rStyle w:val="InternetLink"/>
                  <w:rFonts w:ascii="Times New Roman;serif" w:hAnsi="Times New Roman;serif"/>
                  <w:b w:val="false"/>
                  <w:strike w:val="false"/>
                  <w:dstrike w:val="false"/>
                  <w:color w:val="000000"/>
                  <w:sz w:val="20"/>
                  <w:u w:val="none"/>
                  <w:effect w:val="none"/>
                </w:rPr>
                <w:t>7</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19">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19">
              <w:r>
                <w:rPr>
                  <w:rStyle w:val="InternetLink"/>
                  <w:rFonts w:ascii="Times New Roman;serif" w:hAnsi="Times New Roman;serif"/>
                  <w:b w:val="false"/>
                  <w:color w:val="0000FF"/>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dc1ca7e708745d0b5fcd3670739fb84_19">
              <w:r>
                <w:rPr>
                  <w:rStyle w:val="InternetLink"/>
                  <w:rFonts w:ascii="Times New Roman;serif" w:hAnsi="Times New Roman;serif"/>
                  <w:b w:val="false"/>
                  <w:strike w:val="false"/>
                  <w:dstrike w:val="false"/>
                  <w:color w:val="000000"/>
                  <w:sz w:val="20"/>
                  <w:u w:val="none"/>
                  <w:effect w:val="none"/>
                </w:rPr>
                <w:t>7</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22">
              <w:r>
                <w:rPr>
                  <w:rStyle w:val="InternetLink"/>
                  <w:rFonts w:ascii="Times New Roman;serif" w:hAnsi="Times New Roman;serif"/>
                  <w:b w:val="false"/>
                  <w:color w:val="0000FF"/>
                  <w:sz w:val="20"/>
                  <w:u w:val="single"/>
                </w:rPr>
                <w:t>Condensed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dc1ca7e708745d0b5fcd3670739fb84_22">
              <w:r>
                <w:rPr>
                  <w:rStyle w:val="InternetLink"/>
                  <w:rFonts w:ascii="Times New Roman;serif" w:hAnsi="Times New Roman;serif"/>
                  <w:b w:val="false"/>
                  <w:strike w:val="false"/>
                  <w:dstrike w:val="false"/>
                  <w:color w:val="000000"/>
                  <w:sz w:val="20"/>
                  <w:u w:val="none"/>
                  <w:effect w:val="none"/>
                </w:rPr>
                <w:t>7</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25">
              <w:r>
                <w:rPr>
                  <w:rStyle w:val="InternetLink"/>
                  <w:rFonts w:ascii="Times New Roman;serif" w:hAnsi="Times New Roman;serif"/>
                  <w:b w:val="false"/>
                  <w:color w:val="0000FF"/>
                  <w:sz w:val="20"/>
                  <w:u w:val="single"/>
                </w:rPr>
                <w:t>Condensed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dc1ca7e708745d0b5fcd3670739fb84_25">
              <w:r>
                <w:rPr>
                  <w:rStyle w:val="InternetLink"/>
                  <w:rFonts w:ascii="Times New Roman;serif" w:hAnsi="Times New Roman;serif"/>
                  <w:b w:val="false"/>
                  <w:strike w:val="false"/>
                  <w:dstrike w:val="false"/>
                  <w:color w:val="000000"/>
                  <w:sz w:val="20"/>
                  <w:u w:val="none"/>
                  <w:effect w:val="none"/>
                </w:rPr>
                <w:t>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28">
              <w:r>
                <w:rPr>
                  <w:rStyle w:val="InternetLink"/>
                  <w:rFonts w:ascii="Times New Roman;serif" w:hAnsi="Times New Roman;serif"/>
                  <w:b w:val="false"/>
                  <w:color w:val="0000FF"/>
                  <w:sz w:val="20"/>
                  <w:u w:val="single"/>
                </w:rPr>
                <w:t>Condensed Statements of Changes in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dc1ca7e708745d0b5fcd3670739fb84_28">
              <w:r>
                <w:rPr>
                  <w:rStyle w:val="InternetLink"/>
                  <w:rFonts w:ascii="Times New Roman;serif" w:hAnsi="Times New Roman;serif"/>
                  <w:b w:val="false"/>
                  <w:strike w:val="false"/>
                  <w:dstrike w:val="false"/>
                  <w:color w:val="000000"/>
                  <w:sz w:val="20"/>
                  <w:u w:val="none"/>
                  <w:effect w:val="none"/>
                </w:rPr>
                <w:t>9</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31">
              <w:r>
                <w:rPr>
                  <w:rStyle w:val="InternetLink"/>
                  <w:rFonts w:ascii="Times New Roman;serif" w:hAnsi="Times New Roman;serif"/>
                  <w:b w:val="false"/>
                  <w:color w:val="0000FF"/>
                  <w:sz w:val="20"/>
                  <w:u w:val="single"/>
                </w:rPr>
                <w:t>Condensed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dc1ca7e708745d0b5fcd3670739fb84_31">
              <w:r>
                <w:rPr>
                  <w:rStyle w:val="InternetLink"/>
                  <w:rFonts w:ascii="Times New Roman;serif" w:hAnsi="Times New Roman;serif"/>
                  <w:b w:val="false"/>
                  <w:strike w:val="false"/>
                  <w:dstrike w:val="false"/>
                  <w:color w:val="000000"/>
                  <w:sz w:val="20"/>
                  <w:u w:val="none"/>
                  <w:effect w:val="none"/>
                </w:rPr>
                <w:t>10</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34">
              <w:r>
                <w:rPr>
                  <w:rStyle w:val="InternetLink"/>
                  <w:rFonts w:ascii="Times New Roman;serif" w:hAnsi="Times New Roman;serif"/>
                  <w:b w:val="false"/>
                  <w:color w:val="0000FF"/>
                  <w:sz w:val="20"/>
                  <w:u w:val="single"/>
                </w:rPr>
                <w:t>Notes to Condensed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dc1ca7e708745d0b5fcd3670739fb84_34">
              <w:r>
                <w:rPr>
                  <w:rStyle w:val="InternetLink"/>
                  <w:rFonts w:ascii="Times New Roman;serif" w:hAnsi="Times New Roman;serif"/>
                  <w:b w:val="false"/>
                  <w:strike w:val="false"/>
                  <w:dstrike w:val="false"/>
                  <w:color w:val="000000"/>
                  <w:sz w:val="20"/>
                  <w:u w:val="none"/>
                  <w:effect w:val="none"/>
                </w:rPr>
                <w:t>11</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73">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7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dc1ca7e708745d0b5fcd3670739fb84_73">
              <w:r>
                <w:rPr>
                  <w:rStyle w:val="InternetLink"/>
                  <w:rFonts w:ascii="Times New Roman;serif" w:hAnsi="Times New Roman;serif"/>
                  <w:b w:val="false"/>
                  <w:strike w:val="false"/>
                  <w:dstrike w:val="false"/>
                  <w:color w:val="000000"/>
                  <w:sz w:val="20"/>
                  <w:u w:val="none"/>
                  <w:effect w:val="none"/>
                </w:rPr>
                <w:t>22</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97">
              <w:r>
                <w:rPr>
                  <w:rStyle w:val="InternetLink"/>
                  <w:rFonts w:ascii="Times New Roman;serif" w:hAnsi="Times New Roman;serif"/>
                  <w:b w:val="false"/>
                  <w:strike w:val="false"/>
                  <w:dstrike w:val="false"/>
                  <w:color w:val="000000"/>
                  <w:sz w:val="20"/>
                  <w:u w:val="none"/>
                  <w:effect w:val="non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97">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dc1ca7e708745d0b5fcd3670739fb84_97">
              <w:r>
                <w:rPr>
                  <w:rStyle w:val="InternetLink"/>
                  <w:rFonts w:ascii="Times New Roman;serif" w:hAnsi="Times New Roman;serif"/>
                  <w:b w:val="false"/>
                  <w:strike w:val="false"/>
                  <w:dstrike w:val="false"/>
                  <w:color w:val="000000"/>
                  <w:sz w:val="20"/>
                  <w:u w:val="none"/>
                  <w:effect w:val="none"/>
                </w:rPr>
                <w:t>33</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100">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100">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dc1ca7e708745d0b5fcd3670739fb84_100">
              <w:r>
                <w:rPr>
                  <w:rStyle w:val="InternetLink"/>
                  <w:rFonts w:ascii="Times New Roman;serif" w:hAnsi="Times New Roman;serif"/>
                  <w:b w:val="false"/>
                  <w:strike w:val="false"/>
                  <w:dstrike w:val="false"/>
                  <w:color w:val="000000"/>
                  <w:sz w:val="20"/>
                  <w:u w:val="none"/>
                  <w:effect w:val="none"/>
                </w:rPr>
                <w:t>34</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103">
              <w:r>
                <w:rPr>
                  <w:rStyle w:val="InternetLink"/>
                  <w:rFonts w:ascii="Times New Roman;serif" w:hAnsi="Times New Roman;serif"/>
                  <w:b/>
                  <w:strike w:val="false"/>
                  <w:dstrike w:val="false"/>
                  <w:color w:val="000000"/>
                  <w:sz w:val="20"/>
                  <w:u w:val="none"/>
                  <w:effect w:val="none"/>
                </w:rPr>
                <w:t>PART II.</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103">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dc1ca7e708745d0b5fcd3670739fb84_103">
              <w:r>
                <w:rPr>
                  <w:rStyle w:val="InternetLink"/>
                  <w:rFonts w:ascii="Times New Roman;serif" w:hAnsi="Times New Roman;serif"/>
                  <w:b w:val="false"/>
                  <w:strike w:val="false"/>
                  <w:dstrike w:val="false"/>
                  <w:color w:val="000000"/>
                  <w:sz w:val="20"/>
                  <w:u w:val="none"/>
                  <w:effect w:val="none"/>
                </w:rPr>
                <w:t>35</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106">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106">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dc1ca7e708745d0b5fcd3670739fb84_106">
              <w:r>
                <w:rPr>
                  <w:rStyle w:val="InternetLink"/>
                  <w:rFonts w:ascii="Times New Roman;serif" w:hAnsi="Times New Roman;serif"/>
                  <w:b w:val="false"/>
                  <w:strike w:val="false"/>
                  <w:dstrike w:val="false"/>
                  <w:color w:val="000000"/>
                  <w:sz w:val="20"/>
                  <w:u w:val="none"/>
                  <w:effect w:val="none"/>
                </w:rPr>
                <w:t>35</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109">
              <w:r>
                <w:rPr>
                  <w:rStyle w:val="InternetLink"/>
                  <w:rFonts w:ascii="Times New Roman;serif" w:hAnsi="Times New Roman;serif"/>
                  <w:b w:val="false"/>
                  <w:strike w:val="false"/>
                  <w:dstrike w:val="false"/>
                  <w:color w:val="000000"/>
                  <w:sz w:val="20"/>
                  <w:u w:val="none"/>
                  <w:effect w:val="none"/>
                </w:rPr>
                <w:t>Item 1A.</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109">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dc1ca7e708745d0b5fcd3670739fb84_109">
              <w:r>
                <w:rPr>
                  <w:rStyle w:val="InternetLink"/>
                  <w:rFonts w:ascii="Times New Roman;serif" w:hAnsi="Times New Roman;serif"/>
                  <w:b w:val="false"/>
                  <w:strike w:val="false"/>
                  <w:dstrike w:val="false"/>
                  <w:color w:val="000000"/>
                  <w:sz w:val="20"/>
                  <w:u w:val="none"/>
                  <w:effect w:val="none"/>
                </w:rPr>
                <w:t>35</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112">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112">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dc1ca7e708745d0b5fcd3670739fb84_112">
              <w:r>
                <w:rPr>
                  <w:rStyle w:val="InternetLink"/>
                  <w:rFonts w:ascii="Times New Roman;serif" w:hAnsi="Times New Roman;serif"/>
                  <w:b w:val="false"/>
                  <w:strike w:val="false"/>
                  <w:dstrike w:val="false"/>
                  <w:color w:val="000000"/>
                  <w:sz w:val="20"/>
                  <w:u w:val="none"/>
                  <w:effect w:val="none"/>
                </w:rPr>
                <w:t>89</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115">
              <w:r>
                <w:rPr>
                  <w:rStyle w:val="InternetLink"/>
                  <w:rFonts w:ascii="Times New Roman;serif" w:hAnsi="Times New Roman;serif"/>
                  <w:b w:val="false"/>
                  <w:strike w:val="false"/>
                  <w:dstrike w:val="false"/>
                  <w:color w:val="000000"/>
                  <w:sz w:val="20"/>
                  <w:u w:val="none"/>
                  <w:effect w:val="non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115">
              <w:r>
                <w:rPr>
                  <w:rStyle w:val="InternetLink"/>
                  <w:rFonts w:ascii="Times New Roman;serif" w:hAnsi="Times New Roman;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dc1ca7e708745d0b5fcd3670739fb84_115">
              <w:r>
                <w:rPr>
                  <w:rStyle w:val="InternetLink"/>
                  <w:rFonts w:ascii="Times New Roman;serif" w:hAnsi="Times New Roman;serif"/>
                  <w:b w:val="false"/>
                  <w:strike w:val="false"/>
                  <w:dstrike w:val="false"/>
                  <w:color w:val="000000"/>
                  <w:sz w:val="20"/>
                  <w:u w:val="none"/>
                  <w:effect w:val="none"/>
                </w:rPr>
                <w:t>89</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118">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118">
              <w:r>
                <w:rPr>
                  <w:rStyle w:val="InternetLink"/>
                  <w:rFonts w:ascii="Times New Roman;serif" w:hAnsi="Times New Roman;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dc1ca7e708745d0b5fcd3670739fb84_118">
              <w:r>
                <w:rPr>
                  <w:rStyle w:val="InternetLink"/>
                  <w:rFonts w:ascii="Times New Roman;serif" w:hAnsi="Times New Roman;serif"/>
                  <w:b w:val="false"/>
                  <w:strike w:val="false"/>
                  <w:dstrike w:val="false"/>
                  <w:color w:val="000000"/>
                  <w:sz w:val="20"/>
                  <w:u w:val="none"/>
                  <w:effect w:val="none"/>
                </w:rPr>
                <w:t>89</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121">
              <w:r>
                <w:rPr>
                  <w:rStyle w:val="InternetLink"/>
                  <w:rFonts w:ascii="Times New Roman;serif" w:hAnsi="Times New Roman;serif"/>
                  <w:b w:val="false"/>
                  <w:strike w:val="false"/>
                  <w:dstrike w:val="false"/>
                  <w:color w:val="000000"/>
                  <w:sz w:val="20"/>
                  <w:u w:val="none"/>
                  <w:effect w:val="none"/>
                </w:rPr>
                <w:t>Item 5.</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121">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dc1ca7e708745d0b5fcd3670739fb84_121">
              <w:r>
                <w:rPr>
                  <w:rStyle w:val="InternetLink"/>
                  <w:rFonts w:ascii="Times New Roman;serif" w:hAnsi="Times New Roman;serif"/>
                  <w:b w:val="false"/>
                  <w:strike w:val="false"/>
                  <w:dstrike w:val="false"/>
                  <w:color w:val="000000"/>
                  <w:sz w:val="20"/>
                  <w:u w:val="none"/>
                  <w:effect w:val="none"/>
                </w:rPr>
                <w:t>89</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127">
              <w:r>
                <w:rPr>
                  <w:rStyle w:val="InternetLink"/>
                  <w:rFonts w:ascii="Times New Roman;serif" w:hAnsi="Times New Roman;serif"/>
                  <w:b w:val="false"/>
                  <w:strike w:val="false"/>
                  <w:dstrike w:val="false"/>
                  <w:color w:val="000000"/>
                  <w:sz w:val="20"/>
                  <w:u w:val="none"/>
                  <w:effect w:val="none"/>
                </w:rPr>
                <w:t>Item 6.</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127">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dc1ca7e708745d0b5fcd3670739fb84_127">
              <w:r>
                <w:rPr>
                  <w:rStyle w:val="InternetLink"/>
                  <w:rFonts w:ascii="Times New Roman;serif" w:hAnsi="Times New Roman;serif"/>
                  <w:b w:val="false"/>
                  <w:strike w:val="false"/>
                  <w:dstrike w:val="false"/>
                  <w:color w:val="000000"/>
                  <w:sz w:val="20"/>
                  <w:u w:val="none"/>
                  <w:effect w:val="none"/>
                </w:rPr>
                <w:t>90</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c1ca7e708745d0b5fcd3670739fb84_130">
              <w:r>
                <w:rPr>
                  <w:rStyle w:val="InternetLink"/>
                  <w:rFonts w:ascii="Times New Roman;serif" w:hAnsi="Times New Roman;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dc1ca7e708745d0b5fcd3670739fb84_130">
              <w:r>
                <w:rPr>
                  <w:rStyle w:val="InternetLink"/>
                  <w:rFonts w:ascii="Times New Roman;serif" w:hAnsi="Times New Roman;serif"/>
                  <w:b w:val="false"/>
                  <w:strike w:val="false"/>
                  <w:dstrike w:val="false"/>
                  <w:color w:val="000000"/>
                  <w:sz w:val="20"/>
                  <w:u w:val="none"/>
                  <w:effect w:val="none"/>
                </w:rPr>
                <w:t>92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240"/>
        <w:jc w:val="left"/>
        <w:rPr/>
      </w:pPr>
      <w:r>
        <w:rPr>
          <w:rFonts w:ascii="Times New Roman;serif" w:hAnsi="Times New Roman;serif"/>
          <w:b w:val="false"/>
          <w:color w:val="000000"/>
          <w:sz w:val="20"/>
        </w:rPr>
        <w:t xml:space="preserve">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present and historical facts contained in this Quarterly Report on Form 10-Q, including, without limitation, statements regarding our future results of operations and financial position, business strategy and approach, including related results, prospective products, use and development of licensed products, planned preclinical studies and clinical trials, or discontinuance thereof, the status and results of our preclinical studies, expected release of interim data, expectations regarding the use and effects of ARCUS, including in connection with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genome editing, collaborations and potential new partnerships or alternative opportunities for our product candidates, potential new application filings and regulatory approvals, research and development costs, timing, expected results and likelihood of success, as well as plans and objectives of management for future operations may be forward-looking statements. Without limiting the foregoing, in some cases, you can identify forward-looking statements by terms such as “aim,”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II. Item 1A. “Risk Factors” and Part I. Item 2. “Management’s Discussion and Analysis of Financial Condition and Results of Operations.” These risks and uncertainties include, but are not limited to:</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ability to become profitable;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ability to procure sufficient funding to advance our programs;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risks associated with raising additional capital and requirements under our current debt instruments and effects of restrictions thereunder;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operating expenses and our ability to predict what those expenses will be;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limited operating history;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success of our programs and product candidates in which we expend our resources;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limited ability or inability to assess the safety and efficacy of our product candidates;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risk that other genome-editing technologies may provide significant advantages over our ARCUS technology;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dependence on our ARCUS technology;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initiation, cost, timing, progress, achievement of milestones and results of research and development activities and preclinical and clinical studies;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public perception about genome editing technology and its applications;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competition in the genome editing, biopharmaceutical, and biotechnology fields;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or our collaborators’ ability to identify, develop and commercialize product candidates;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potential product liability lawsuits and penalties against us or our collaborators related to our technology and our product candidates;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U.S. and foreign regulatory landscape applicable to our and our collaborators’ development of product candidates;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or our collaborators’ or other licensees’ ability to advance product candidates into, and successfully design, implement and complete clinical trials;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potential manufacturing problems associated with the development or commercialization of any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delays or difficulties in our or our collaborators’ ability to enroll patients in clinical trials;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results of preclinical studies and early clinical trials of product candidates may not be predictive of results of later studies or trials'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interim “top-line” and initial data that we announce or publish;</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if our product candidates do not work as intended or cause undesirable side effects;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risks associated with applicable healthcare, data protection, privacy and security regulations and our compliance therewith;</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effects of system failures, cyber-attacks, and security breaches;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obtain orphan drug designation, fast track designation, rare pediatric disease designation, or a priority review voucher for our product candidates, or to realize the expected benefits of these designations;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or our collaborators’ ability to obtain and maintain regulatory approval of our product candidates, and any related restrictions, limitations and/or warnings in the label of an approved product candidate;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rate and degree of market acceptance of any of our product candidates;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effectively manage the growth of our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attract, retain, and motivate executives and personnel;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insurance expenses and exposure to uninsured liabilities;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effects of tax rules;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success of our existing collaboration or other licensees’ agreements and our ability to enter into new collaboration arrangements;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current and future relationships with and reliance on third parties including suppliers and manufacturers;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ability to obtain and maintain intellectual property protection for our technology and any of our product candidates;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potential litigation relating to infringement or misappropriation of intellectual property rights;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effects of natural and man-made disasters, public health emergencies and other natural catastrophic events;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effects of sustained inflation, supply chain disruptions and major central bank policy actions;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market and economic conditions;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risks related to ownership of our common stock, including fluctuations in our stock price;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meet the requirements of and maintain listing of our common stock on Nasdaq or other public stock exchanges.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Moreover, we operate in an evolving environment. New risk factors and uncertainties may emerge from time to time, and it is not possible for management to predict all risk factors and uncertainties.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You should read this Quarterly Report on Form 10-Q and the documents that we reference herein completely and with the understanding that our actual future results may be materially different from what we expect. We qualify all of our forward-looking statements by these cautionary statements. All forward-looking statements contained herein speak only as of the date of this Quarterly Report on Form 10-Q.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used in this Quarterly Report on Form 10-Q, unless otherwise stated or the context requires otherwise, references to “Precision,” the “Company,” “we,” “us,” and “our,” refer to Precision BioSciences,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including those described in Part II. Item 1A. “Risk Factors” in this Quarterly Report on Form 10-Q. You should carefully consider these risks and uncertainties when investing in our common stock. Some of the principal risks and uncertainties include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We have incurred significant operating losses since our inception and expect to continue to incur losses for the foreseeable future. We have not been profitable and may not achieve or maintain profitability.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We will need substantial additional funding, and if we are unable to raise a sufficient amount of capital when needed on acceptable terms, or at all, we may be forced to delay, reduce or eliminate some or all of our research programs, product development activities and commercialization efforts.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We have a limited operating history, which makes it difficult to evaluate our current business and future prospects and may increase the risk of your investment.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ARCUS is a novel technology, making it difficult to predict the time, cost and potential success of product candidate development. We have not yet been able to assess the safety and efficacy of most of our product candidates in humans.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We are heavily dependent on the successful development and translation of ARCUS, and due to the early stages of our product development operations, we cannot give any assurance that any product candidates will be successfully developed and commercialized.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If our product candidates do not achieve projected development milestones or commercialization in the announced or expected timeframes, the further development or commercialization of such product candidates may be delayed, and our business will be harmed.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Adverse public perception of genome editing may negatively impact the developmental progress or commercial success of products that we develop alone or with collaborators.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We face significant competition in industries experiencing rapid technological change, and there is a possibility that our competitors may achieve regulatory approval before us or develop product candidates or treatments that are safer or more effective than ours, which may harm our financial condition and our ability to successfully market or commercialize any of our product candidates.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Our future profitability, if any, will depend in part on our ability and the ability of our collaborators to commercialize any products that we or our collaborators may develop in markets throughout the world. Commercialization of products in various markets could subject us to risks and uncertainties.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Product liability lawsuits against us could cause us to incur substantial liabilities and could limit commercialization of any products that we develop alone or with collaborators.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The regulatory landscape that will apply to development of therapeutic product candidates by us or our collaborators is rigorous, complex, uncertain and subject to change, which could result in delays or termination of development of such product candidates or unexpected costs in obtaining regulatory approvals.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We may not be able to submit INDs to the FDA or CTAs to comparable foreign authorities to commence clinical trials on the timelines we expect, and even if we are able to, the FDA or comparable foreign authorities may not permit us to proceed.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 xml:space="preserve">Clinical trials are difficult to design and implement, expensive, time-consuming and involve an uncertain outcome, and the inability to successfully and timely conduct clinical trials and obtain regulatory approval for our product candidates would substantially harm our business.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Any product candidates that we or our collaborators or other licensees may develop will be novel and may be complex and difficult to manufacture, and if we experience manufacturing problems, it could result in delays in development and commercialization of such product candidates or otherwise harm our business.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Any delays or difficulties in our or our collaborators’ ability to enroll patients in clinical trials could delay or prevent receipt of regulatory approvals.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Results of preclinical studies and early clinical trials of product candidates may not be predictive of results of later studies or trials. Our product candidates may not have favorable results in later clinical trials, if any, or receive regulatory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Our business and operations may suffer in the event of information technology system failures, cyber-attacks or deficiencies in our security, which could materially affect our results.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Even if we obtain regulatory approval for any products that we develop alone or with collaborators, such products will remain subject to ongoing regulatory requirements, which may result in significant additional expense.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Even if any product we develop alone or with collaborators receives marketing approval, such product may fail to achieve the degree of market acceptance by physicians, patients, healthcare payors and others in the medical community necessary for commercial success.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Our future success depends on our key executives, as well as attracting, retaining and motivating qualified personnel.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Our failure to meet the continued listing requirements of The Nasdaq Capital Market could result in the delisting of our common stock.</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Because we no longer qualify as an emerging growth company, we are subject to additional laws and regulations affecting public companies that may increase our costs and the demands on our management which could harm our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PRECISION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66"/>
        <w:gridCol w:w="2363"/>
        <w:gridCol w:w="2336"/>
        <w:gridCol w:w="201"/>
        <w:gridCol w:w="756"/>
        <w:gridCol w:w="111"/>
        <w:gridCol w:w="109"/>
        <w:gridCol w:w="109"/>
        <w:gridCol w:w="109"/>
        <w:gridCol w:w="224"/>
        <w:gridCol w:w="842"/>
        <w:gridCol w:w="179"/>
      </w:tblGrid>
      <w:tr>
        <w:trPr/>
        <w:tc>
          <w:tcPr>
            <w:tcW w:w="2866"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86,076 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110,823 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Marketable securities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4,762 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3,110 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current assets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9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91,549 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118,740 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w:t>
            </w:r>
          </w:p>
        </w:tc>
        <w:tc>
          <w:tcPr>
            <w:tcW w:w="9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26,330 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26,330 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equipment, and software—net</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1,425 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Intangible assets—net</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1,166 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Right-of-use assets—net</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5,114 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in equity securities</w:t>
            </w:r>
          </w:p>
        </w:tc>
        <w:tc>
          <w:tcPr>
            <w:tcW w:w="9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744 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744 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assets</w:t>
            </w:r>
          </w:p>
        </w:tc>
        <w:tc>
          <w:tcPr>
            <w:tcW w:w="20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125,920 </w:t>
            </w:r>
          </w:p>
        </w:tc>
        <w:tc>
          <w:tcPr>
            <w:tcW w:w="11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154,416 </w:t>
            </w:r>
          </w:p>
        </w:tc>
        <w:tc>
          <w:tcPr>
            <w:tcW w:w="17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Liabilities and Stockholders’ Equity</w:t>
            </w:r>
          </w:p>
        </w:tc>
        <w:tc>
          <w:tcPr>
            <w:tcW w:w="10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106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Accrued compensation</w:t>
            </w:r>
          </w:p>
        </w:tc>
        <w:tc>
          <w:tcPr>
            <w:tcW w:w="9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2,365 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4,747 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Accrued research and development expenses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1,714 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Lease liabilities</w:t>
            </w:r>
          </w:p>
        </w:tc>
        <w:tc>
          <w:tcPr>
            <w:tcW w:w="9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1,608 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1,507 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current liabilities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649 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95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7,140 </w:t>
            </w:r>
          </w:p>
        </w:tc>
        <w:tc>
          <w:tcPr>
            <w:tcW w:w="11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8,913 </w:t>
            </w:r>
          </w:p>
        </w:tc>
        <w:tc>
          <w:tcPr>
            <w:tcW w:w="17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Loan payable</w:t>
            </w:r>
          </w:p>
        </w:tc>
        <w:tc>
          <w:tcPr>
            <w:tcW w:w="9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22,421 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22,404 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Lease liabilities</w:t>
            </w:r>
          </w:p>
        </w:tc>
        <w:tc>
          <w:tcPr>
            <w:tcW w:w="9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4,072 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4,897 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Warrant liability</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36,693 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15,695 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Contract liabilities</w:t>
            </w:r>
          </w:p>
        </w:tc>
        <w:tc>
          <w:tcPr>
            <w:tcW w:w="9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10,000 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10,000 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noncurrent liabilities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95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80,627 </w:t>
            </w:r>
          </w:p>
        </w:tc>
        <w:tc>
          <w:tcPr>
            <w:tcW w:w="11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62,168 </w:t>
            </w:r>
          </w:p>
        </w:tc>
        <w:tc>
          <w:tcPr>
            <w:tcW w:w="17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Stockholders’ equity:</w:t>
            </w:r>
          </w:p>
        </w:tc>
        <w:tc>
          <w:tcPr>
            <w:tcW w:w="10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Preferred stock: $0.0001 par value— 10,000,000 shares authorized as of June 30, 2026 and December 31, 2025; no shares issued and outstanding as of June 30, 2026 and December 31, 2025</w:t>
            </w:r>
          </w:p>
        </w:tc>
        <w:tc>
          <w:tcPr>
            <w:tcW w:w="9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Common stock: $0.000005 par value— 200,000,000 shares authorized as of June 30, 2026 and December 31, 2025; 26,460,573 shares issued and 26,433,558 shares outstanding as of June 30, 2026; 24,115,346 shares issued and 24,088,425 shares outstanding as of December 31, 2025</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9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625,525 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621,387 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deficit</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(579,281)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(528,188)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Treasury stock</w:t>
            </w:r>
          </w:p>
        </w:tc>
        <w:tc>
          <w:tcPr>
            <w:tcW w:w="9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(952)</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(952)</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stockholders’ equity</w:t>
            </w:r>
          </w:p>
        </w:tc>
        <w:tc>
          <w:tcPr>
            <w:tcW w:w="9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45,293 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92,248 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 and stockholders’ equity</w:t>
            </w:r>
          </w:p>
        </w:tc>
        <w:tc>
          <w:tcPr>
            <w:tcW w:w="20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125,920 </w:t>
            </w:r>
          </w:p>
        </w:tc>
        <w:tc>
          <w:tcPr>
            <w:tcW w:w="1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154,416 </w:t>
            </w:r>
          </w:p>
        </w:tc>
        <w:tc>
          <w:tcPr>
            <w:tcW w:w="17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PRECISION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402"/>
        <w:gridCol w:w="1186"/>
        <w:gridCol w:w="1208"/>
        <w:gridCol w:w="245"/>
        <w:gridCol w:w="899"/>
        <w:gridCol w:w="136"/>
        <w:gridCol w:w="136"/>
        <w:gridCol w:w="136"/>
        <w:gridCol w:w="136"/>
        <w:gridCol w:w="245"/>
        <w:gridCol w:w="899"/>
        <w:gridCol w:w="136"/>
        <w:gridCol w:w="109"/>
        <w:gridCol w:w="109"/>
        <w:gridCol w:w="109"/>
        <w:gridCol w:w="196"/>
        <w:gridCol w:w="715"/>
        <w:gridCol w:w="109"/>
        <w:gridCol w:w="109"/>
        <w:gridCol w:w="109"/>
        <w:gridCol w:w="109"/>
        <w:gridCol w:w="196"/>
        <w:gridCol w:w="715"/>
        <w:gridCol w:w="856"/>
      </w:tblGrid>
      <w:tr>
        <w:trPr/>
        <w:tc>
          <w:tcPr>
            <w:tcW w:w="1402"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12,394 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12,768 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26,356 </w:t>
            </w:r>
          </w:p>
        </w:tc>
        <w:tc>
          <w:tcPr>
            <w:tcW w:w="8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9,127 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17,680 </w:t>
            </w:r>
          </w:p>
        </w:tc>
        <w:tc>
          <w:tcPr>
            <w:tcW w:w="85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1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19,161 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21,895 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44,036 </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11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(19,161)</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(21,877)</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(43,989)</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from equity method investment</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changes in other fair value adjustments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(2,415)</w:t>
            </w:r>
          </w:p>
        </w:tc>
        <w:tc>
          <w:tcPr>
            <w:tcW w:w="8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change in fair value of warrant liability</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(13,891)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(712)</w:t>
            </w:r>
          </w:p>
        </w:tc>
        <w:tc>
          <w:tcPr>
            <w:tcW w:w="8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2,439 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disposal of assets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856"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11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(13,491)</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(1,643)</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(32,652)</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(23,520)</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(44,085)</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w:t>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w:t>
            </w:r>
          </w:p>
        </w:tc>
        <w:tc>
          <w:tcPr>
            <w:tcW w:w="8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of common stock outstanding</w:t>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25,856,628</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11,046,401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25,248,912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10,174,193</w:t>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25,856,628</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11,046,401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25,248,912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10,174,193</w:t>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See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PRECISION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165"/>
        <w:gridCol w:w="871"/>
        <w:gridCol w:w="875"/>
        <w:gridCol w:w="303"/>
        <w:gridCol w:w="303"/>
        <w:gridCol w:w="310"/>
        <w:gridCol w:w="109"/>
        <w:gridCol w:w="109"/>
        <w:gridCol w:w="109"/>
        <w:gridCol w:w="248"/>
        <w:gridCol w:w="305"/>
        <w:gridCol w:w="138"/>
        <w:gridCol w:w="109"/>
        <w:gridCol w:w="109"/>
        <w:gridCol w:w="109"/>
        <w:gridCol w:w="196"/>
        <w:gridCol w:w="736"/>
        <w:gridCol w:w="109"/>
        <w:gridCol w:w="109"/>
        <w:gridCol w:w="109"/>
        <w:gridCol w:w="109"/>
        <w:gridCol w:w="196"/>
        <w:gridCol w:w="779"/>
        <w:gridCol w:w="109"/>
        <w:gridCol w:w="109"/>
        <w:gridCol w:w="109"/>
        <w:gridCol w:w="109"/>
        <w:gridCol w:w="196"/>
        <w:gridCol w:w="477"/>
        <w:gridCol w:w="109"/>
        <w:gridCol w:w="109"/>
        <w:gridCol w:w="109"/>
        <w:gridCol w:w="109"/>
        <w:gridCol w:w="221"/>
        <w:gridCol w:w="745"/>
        <w:gridCol w:w="179"/>
      </w:tblGrid>
      <w:tr>
        <w:trPr/>
        <w:tc>
          <w:tcPr>
            <w:tcW w:w="116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8,229,730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539,808 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(482,464)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56,393 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30,999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to licensees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220,712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ATM facility, net of issuance cost</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1,818,886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9,516 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of restricted stock units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(20,565)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March 31, 2025</w:t>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10,575,867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553,317 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(503,029)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49,337 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2,937 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ATM facility, net of issuance cost</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1,036,488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of restricted stock units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(23,520)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11,663,996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561,554 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(526,549)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34,054 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December 31, 2025</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24,115,346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(528,188)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92,248 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to licensees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from pre-funded warrants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of restricted stock units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617,830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(18,441)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March 31, 2026</w:t>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25,832,913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623,681 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(546,629)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76,101 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1,844 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from pre-funded warrants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of restricted stock units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(32,652)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June 30, 2026</w:t>
            </w:r>
          </w:p>
        </w:tc>
        <w:tc>
          <w:tcPr>
            <w:tcW w:w="91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26,460,573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625,525 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(579,281)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45,293 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See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PRECISION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061" w:type="dxa"/>
        <w:jc w:val="center"/>
        <w:tblInd w:w="0" w:type="dxa"/>
        <w:tblLayout w:type="fixed"/>
        <w:tblCellMar>
          <w:top w:w="28" w:type="dxa"/>
          <w:left w:w="28" w:type="dxa"/>
          <w:bottom w:w="28" w:type="dxa"/>
          <w:right w:w="28" w:type="dxa"/>
        </w:tblCellMar>
      </w:tblPr>
      <w:tblGrid>
        <w:gridCol w:w="2666"/>
        <w:gridCol w:w="2345"/>
        <w:gridCol w:w="2353"/>
        <w:gridCol w:w="217"/>
        <w:gridCol w:w="815"/>
        <w:gridCol w:w="120"/>
        <w:gridCol w:w="120"/>
        <w:gridCol w:w="120"/>
        <w:gridCol w:w="120"/>
        <w:gridCol w:w="217"/>
        <w:gridCol w:w="798"/>
        <w:gridCol w:w="170"/>
      </w:tblGrid>
      <w:tr>
        <w:trPr/>
        <w:tc>
          <w:tcPr>
            <w:tcW w:w="2666"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3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used in operating activities:</w:t>
            </w:r>
          </w:p>
        </w:tc>
        <w:tc>
          <w:tcPr>
            <w:tcW w:w="115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(51,093)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(44,085)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in operating activities:</w:t>
            </w:r>
          </w:p>
        </w:tc>
        <w:tc>
          <w:tcPr>
            <w:tcW w:w="115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0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3,393 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5,759 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disposal of assets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interest expense</w:t>
            </w:r>
          </w:p>
        </w:tc>
        <w:tc>
          <w:tcPr>
            <w:tcW w:w="10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right-of-use assets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changes in other fair value adjustments</w:t>
            </w:r>
          </w:p>
        </w:tc>
        <w:tc>
          <w:tcPr>
            <w:tcW w:w="10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3,195 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2,415 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Gain from equity method investment</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discount on note receivable</w:t>
            </w:r>
          </w:p>
        </w:tc>
        <w:tc>
          <w:tcPr>
            <w:tcW w:w="10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change in fair value of warrant liability</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20,998 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15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w:t>
            </w:r>
          </w:p>
        </w:tc>
        <w:tc>
          <w:tcPr>
            <w:tcW w:w="10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464 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w:t>
            </w:r>
          </w:p>
        </w:tc>
        <w:tc>
          <w:tcPr>
            <w:tcW w:w="10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1,469 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and other current assets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0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526 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 and other current liabilities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(4,441)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0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103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(25,379)</w:t>
            </w:r>
          </w:p>
        </w:tc>
        <w:tc>
          <w:tcPr>
            <w:tcW w:w="12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(39,323)</w:t>
            </w:r>
          </w:p>
        </w:tc>
        <w:tc>
          <w:tcPr>
            <w:tcW w:w="17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used in investing activities:</w:t>
            </w:r>
          </w:p>
        </w:tc>
        <w:tc>
          <w:tcPr>
            <w:tcW w:w="11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equipment and software</w:t>
            </w:r>
          </w:p>
        </w:tc>
        <w:tc>
          <w:tcPr>
            <w:tcW w:w="10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intangible assets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equipment</w:t>
            </w:r>
          </w:p>
        </w:tc>
        <w:tc>
          <w:tcPr>
            <w:tcW w:w="10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0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provided by financing activities:</w:t>
            </w:r>
          </w:p>
        </w:tc>
        <w:tc>
          <w:tcPr>
            <w:tcW w:w="115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employee stock purchase plan</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through ATM facility, net of issuance cost</w:t>
            </w:r>
          </w:p>
        </w:tc>
        <w:tc>
          <w:tcPr>
            <w:tcW w:w="10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14,816 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to collaboration partners and licensees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103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745 </w:t>
            </w:r>
          </w:p>
        </w:tc>
        <w:tc>
          <w:tcPr>
            <w:tcW w:w="12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15,987 </w:t>
            </w:r>
          </w:p>
        </w:tc>
        <w:tc>
          <w:tcPr>
            <w:tcW w:w="17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and cash equivalents</w:t>
            </w:r>
          </w:p>
        </w:tc>
        <w:tc>
          <w:tcPr>
            <w:tcW w:w="10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(24,747)</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(23,662)</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 beginning of period</w:t>
            </w:r>
          </w:p>
        </w:tc>
        <w:tc>
          <w:tcPr>
            <w:tcW w:w="10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137,153 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108,468 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 end of period</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112,406 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84,806 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Reconciliation of cash, cash equivalents and restricted cash</w:t>
            </w:r>
          </w:p>
        </w:tc>
        <w:tc>
          <w:tcPr>
            <w:tcW w:w="1152"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86,076 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62,242 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21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26,330 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22,564 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of cash, cash equivalents and restricted cash</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112,406 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84,806 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disclosures of cash flow information:</w:t>
            </w:r>
          </w:p>
        </w:tc>
        <w:tc>
          <w:tcPr>
            <w:tcW w:w="1152"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 additions included in accounts payable and accrued expenses and other current liabilities</w:t>
            </w:r>
          </w:p>
        </w:tc>
        <w:tc>
          <w:tcPr>
            <w:tcW w:w="21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2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217"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20"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685 </w:t>
            </w:r>
          </w:p>
        </w:tc>
        <w:tc>
          <w:tcPr>
            <w:tcW w:w="170"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See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Precision BioSciences, Inc.</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Notes to Condensed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            DESCRIPTION OF BUSINESS AND SUMMARY OF SIGNIFICANT ACCOUNTING POLICIES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Description of Business</w:t>
      </w:r>
    </w:p>
    <w:p>
      <w:pPr>
        <w:pStyle w:val="TextBody"/>
        <w:bidi w:val="0"/>
        <w:spacing w:lineRule="auto" w:line="288" w:before="0" w:after="240"/>
        <w:jc w:val="left"/>
        <w:rPr/>
      </w:pPr>
      <w:r>
        <w:rPr>
          <w:rFonts w:ascii="Times New Roman;serif" w:hAnsi="Times New Roman;serif"/>
          <w:b w:val="false"/>
          <w:color w:val="000000"/>
          <w:sz w:val="20"/>
        </w:rPr>
        <w:t xml:space="preserve">Precision BioSciences, Inc. (the “Company”) was incorporated on January 26, 2006 under the laws of the State of Delaware and is based in Durham, North Carolina. The Company is a gene editing company dedicated to improving life by developing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therapies for genetic and infectious diseases with the application of the Company’s wholly-owned proprietary ARCUS genome editing platform.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Since its inception, the Company has devoted substantially all of its efforts to research and development activities, recruiting skilled personnel, establishing its intellectual property portfolio and providing general and administrative support for these operations. The Company is subject to a number of risks similar to those of other companies conducting early-stage research and development of product candidates. Principal among these risks are the Company’s dependence on key individuals and intellectual property, competition from other products and companies, and the technical risks associated with the successful research, development and clinical manufacturing of its product candidates. The Company’s success is dependent upon its ability to continue to raise additional capital in order to fund ongoing research and development, obtain regulatory approval of its products, successfully commercialize its products, generate revenue, meet its obligations, and, ultimately, attain profitable operations.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Unaudited Interim Financial Information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financial statements and notes have been prepared pursuant to the rules and regulations of the Securities and Exchange Commission (“SEC”). Certain information and note disclosures normally included in the annual financial statements, prepared in accordance with accounting principles generally accepted in the U.S. (“GAAP”), have been condensed or omitted pursuant to those rules and regulations. These unaudited condensed financial statements should be read in conjunction with the Company’s audited financial statements and the notes thereto included in the Company’s Annual Report on Form 10-K for the fiscal year ended December 31, 2025, filed with the SEC on March 12, 2026.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unaudited condensed financial statements have been prepared on the same basis as the audited financial statements. In the opinion of management, all adjustments, consisting only of normal recurring adjustments necessary for a fair presentation of the Company’s condensed financial position as of June 30, 2026 and its condensed results of operations and cash flows for the three and six months ended June 30, 2026 and 2025, have been made. The Company’s condensed results of operations for the three and six months ended June 30, 2026 are not necessarily indicative of the results of operations that may be expected for the year ending December 31, 2026.</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Summary of Significant Accounting Policies</w:t>
      </w:r>
    </w:p>
    <w:p>
      <w:pPr>
        <w:pStyle w:val="TextBody"/>
        <w:bidi w:val="0"/>
        <w:spacing w:lineRule="auto" w:line="288" w:before="0" w:after="240"/>
        <w:jc w:val="left"/>
        <w:rPr/>
      </w:pPr>
      <w:r>
        <w:rPr>
          <w:rFonts w:ascii="Times New Roman;serif" w:hAnsi="Times New Roman;serif"/>
          <w:b w:val="false"/>
          <w:color w:val="000000"/>
          <w:sz w:val="20"/>
        </w:rPr>
        <w:t xml:space="preserve">The Company’s complete listing of significant accounting policies is set forth in Note 1, </w:t>
      </w:r>
      <w:r>
        <w:rPr>
          <w:rFonts w:ascii="Times New Roman;serif" w:hAnsi="Times New Roman;serif"/>
          <w:b w:val="false"/>
          <w:i/>
          <w:color w:val="000000"/>
          <w:sz w:val="20"/>
        </w:rPr>
        <w:t>Description of Business and Summary of Significant Accounting Policies</w:t>
      </w:r>
      <w:r>
        <w:rPr>
          <w:rFonts w:ascii="Times New Roman;serif" w:hAnsi="Times New Roman;serif"/>
          <w:b w:val="false"/>
          <w:color w:val="000000"/>
          <w:sz w:val="20"/>
        </w:rPr>
        <w:t>, to the Notes to Condensed Financial Statements on its Annual Report on Form 10-K for the fiscal year ended December 31, 2025. There have been no changes to these policies as of June 30, 2026.</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Accounting Standards Updates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Recently Issued Accounting Standards</w:t>
      </w:r>
    </w:p>
    <w:p>
      <w:pPr>
        <w:pStyle w:val="TextBody"/>
        <w:bidi w:val="0"/>
        <w:spacing w:lineRule="auto" w:line="288" w:before="0" w:after="24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to improve disclosures around an entity’s expenses. Upon adoption, companies will be required to disclose in the notes to the financial statements a disaggregation of certain expense categories included within the expense captions on the face of the income statement. The standard is effective for annual periods beginning after December 15, 2026 and interim periods beginning after December 15, 2027, with early adoption permitted, and can be applied either prospectively or retrospectively. The Company plans to adopt the standard in the year ending December 31, 2027 and is currently assessing its effect on the Company’s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2:            FAIR VALUE MEASUREMENTS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represents assets and liabilities measured at fair value on a recurring basis by the Company (in thousands):</w:t>
      </w:r>
    </w:p>
    <w:tbl>
      <w:tblPr>
        <w:tblW w:w="7242" w:type="dxa"/>
        <w:jc w:val="left"/>
        <w:tblInd w:w="0" w:type="dxa"/>
        <w:tblLayout w:type="fixed"/>
        <w:tblCellMar>
          <w:top w:w="28" w:type="dxa"/>
          <w:left w:w="28" w:type="dxa"/>
          <w:bottom w:w="28" w:type="dxa"/>
          <w:right w:w="28" w:type="dxa"/>
        </w:tblCellMar>
      </w:tblPr>
      <w:tblGrid>
        <w:gridCol w:w="834"/>
        <w:gridCol w:w="736"/>
        <w:gridCol w:w="740"/>
        <w:gridCol w:w="109"/>
        <w:gridCol w:w="109"/>
        <w:gridCol w:w="109"/>
        <w:gridCol w:w="196"/>
        <w:gridCol w:w="646"/>
        <w:gridCol w:w="109"/>
        <w:gridCol w:w="109"/>
        <w:gridCol w:w="109"/>
        <w:gridCol w:w="109"/>
        <w:gridCol w:w="196"/>
        <w:gridCol w:w="646"/>
        <w:gridCol w:w="109"/>
        <w:gridCol w:w="109"/>
        <w:gridCol w:w="109"/>
        <w:gridCol w:w="109"/>
        <w:gridCol w:w="196"/>
        <w:gridCol w:w="421"/>
        <w:gridCol w:w="109"/>
        <w:gridCol w:w="109"/>
        <w:gridCol w:w="109"/>
        <w:gridCol w:w="109"/>
        <w:gridCol w:w="196"/>
        <w:gridCol w:w="646"/>
        <w:gridCol w:w="154"/>
      </w:tblGrid>
      <w:tr>
        <w:trPr/>
        <w:tc>
          <w:tcPr>
            <w:tcW w:w="8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23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iECURE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Imugene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Final payment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36,693 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41" w:type="dxa"/>
        <w:jc w:val="left"/>
        <w:tblInd w:w="0" w:type="dxa"/>
        <w:tblLayout w:type="fixed"/>
        <w:tblCellMar>
          <w:top w:w="28" w:type="dxa"/>
          <w:left w:w="28" w:type="dxa"/>
          <w:bottom w:w="28" w:type="dxa"/>
          <w:right w:w="28" w:type="dxa"/>
        </w:tblCellMar>
      </w:tblPr>
      <w:tblGrid>
        <w:gridCol w:w="837"/>
        <w:gridCol w:w="733"/>
        <w:gridCol w:w="739"/>
        <w:gridCol w:w="109"/>
        <w:gridCol w:w="109"/>
        <w:gridCol w:w="109"/>
        <w:gridCol w:w="196"/>
        <w:gridCol w:w="646"/>
        <w:gridCol w:w="109"/>
        <w:gridCol w:w="109"/>
        <w:gridCol w:w="109"/>
        <w:gridCol w:w="109"/>
        <w:gridCol w:w="196"/>
        <w:gridCol w:w="646"/>
        <w:gridCol w:w="109"/>
        <w:gridCol w:w="109"/>
        <w:gridCol w:w="109"/>
        <w:gridCol w:w="109"/>
        <w:gridCol w:w="196"/>
        <w:gridCol w:w="421"/>
        <w:gridCol w:w="109"/>
        <w:gridCol w:w="109"/>
        <w:gridCol w:w="109"/>
        <w:gridCol w:w="109"/>
        <w:gridCol w:w="196"/>
        <w:gridCol w:w="64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23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iECURE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Imugene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Final payment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15,903 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15,695 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color w:val="000000"/>
          <w:sz w:val="20"/>
        </w:rPr>
        <w:t xml:space="preserve">The following represents a reconciliation of assets measured and carried at fair value on a recurring basis with the use of significant unobservable inputs (Level 3) for the six months ended June 30, 2026 (in thousands). The warrant reconciliation is disclosed in Note 11, </w:t>
      </w:r>
      <w:r>
        <w:rPr>
          <w:rFonts w:ascii="Times New Roman;serif" w:hAnsi="Times New Roman;serif"/>
          <w:b w:val="false"/>
          <w:i/>
          <w:color w:val="000000"/>
          <w:sz w:val="20"/>
        </w:rPr>
        <w:t>Warrants</w:t>
      </w:r>
      <w:r>
        <w:rPr>
          <w:rFonts w:ascii="Times New Roman;serif" w:hAnsi="Times New Roman;serif"/>
          <w:b w:val="false"/>
          <w:color w:val="000000"/>
          <w:sz w:val="20"/>
        </w:rPr>
        <w:t>:</w:t>
      </w:r>
    </w:p>
    <w:tbl>
      <w:tblPr>
        <w:tblW w:w="6566" w:type="dxa"/>
        <w:jc w:val="left"/>
        <w:tblInd w:w="0" w:type="dxa"/>
        <w:tblLayout w:type="fixed"/>
        <w:tblCellMar>
          <w:top w:w="28" w:type="dxa"/>
          <w:left w:w="28" w:type="dxa"/>
          <w:bottom w:w="28" w:type="dxa"/>
          <w:right w:w="28" w:type="dxa"/>
        </w:tblCellMar>
      </w:tblPr>
      <w:tblGrid>
        <w:gridCol w:w="1550"/>
        <w:gridCol w:w="1368"/>
        <w:gridCol w:w="1372"/>
        <w:gridCol w:w="109"/>
        <w:gridCol w:w="109"/>
        <w:gridCol w:w="109"/>
        <w:gridCol w:w="494"/>
        <w:gridCol w:w="1064"/>
        <w:gridCol w:w="391"/>
      </w:tblGrid>
      <w:tr>
        <w:trPr/>
        <w:tc>
          <w:tcPr>
            <w:tcW w:w="155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Investment in iECURE</w:t>
            </w:r>
          </w:p>
        </w:tc>
      </w:tr>
      <w:tr>
        <w:trPr/>
        <w:tc>
          <w:tcPr>
            <w:tcW w:w="42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2025</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39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from changes in fair value included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39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carrying amounts of the Company’s accounts receivable, accounts payable, and accrued expenses and other current liabilities, approximate their respective fair values due to their short-term nature. The Company uses a three-tier fair value hierarchy to classify and disclose all assets and liabilities measured at fair value on a recurring basis and to minimize the use of unobservable inputs when determining their fair value. The three tiers are defined as follows: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Level 1—Observable inputs based on unadjusted quoted prices in active markets for identical assets or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Level 2—Inputs, other than quoted prices in active markets, which are observable either directly or indirectly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Level 3—Unobservable inputs for which there is little or no market data, which require the Company to develop its own assumptions.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3:            DEBT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Loan and Security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July 31, 2024, the Company entered into an amended and restated loan and security agreement (the “2024 Loan and Security Agreement”) with Banc of California pursuant to which Banc of California provided the Company with a term loan with a principal amount of $22.5 million (the “2024 Term Loan”). The 2024 Term Loan bears interest at an annual rate equal to the greater of (i) 1.50% below the Prime Rate (as defined in the 2024 Loan and Security Agreement) then in effect or (ii) 4.50%. On June 10, 2026, the Company and Banc of California entered into a First Amendment to Amended and Restated Loan and Security Agreement (the “First Amendment”). The First Amendment amended the 2024 Term Loan between the Company and Banc of California (as amended, including the First Amendment, the “Loan and Security Agreement”). The First Amendment extended the maturity date of the Term Loan, as defined in the Loan and Security Agreement, from June 30, 2027 to December 31, 2029. As of June 30, 2026, the stated interest rate on the Loan and Security Agreement was 5.25% and the effective interest rate was 5.43%.</w:t>
      </w:r>
    </w:p>
    <w:p>
      <w:pPr>
        <w:pStyle w:val="TextBody"/>
        <w:bidi w:val="0"/>
        <w:spacing w:lineRule="auto" w:line="288" w:before="0" w:after="480"/>
        <w:jc w:val="left"/>
        <w:rPr/>
      </w:pPr>
      <w:r>
        <w:rPr>
          <w:rFonts w:ascii="Times New Roman;serif" w:hAnsi="Times New Roman;serif"/>
          <w:b w:val="false"/>
          <w:color w:val="000000"/>
          <w:sz w:val="20"/>
        </w:rPr>
        <w:t xml:space="preserve">Additionally, as of June 30, 2026, $22.5 million in borrowings were outstanding under the Loan and Security Agreement and the unamortized debt discount balance was less than $0.1 million. Refer to Note 12, </w:t>
      </w:r>
      <w:r>
        <w:rPr>
          <w:rFonts w:ascii="Times New Roman;serif" w:hAnsi="Times New Roman;serif"/>
          <w:b w:val="false"/>
          <w:i/>
          <w:color w:val="000000"/>
          <w:sz w:val="20"/>
        </w:rPr>
        <w:t>Debt</w:t>
      </w:r>
      <w:r>
        <w:rPr>
          <w:rFonts w:ascii="Times New Roman;serif" w:hAnsi="Times New Roman;serif"/>
          <w:b w:val="false"/>
          <w:color w:val="000000"/>
          <w:sz w:val="20"/>
        </w:rPr>
        <w:t>, to the Company’s audited financial statements included in the Company’s Annual Report for the fiscal year ended December 31, 2025, for more information related to the Loan and Security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4:            COMMITMENTS AND CONTINGENCIES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 subject to various legal matters and claims in the ordinary course of business. Although the results of legal proceedings and claims cannot be predicted with certainty, in the opinion of management, there are currently no such known matters that will have a material effect on the financial condition, results of operations or cash flows of the Company.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Servier Program Purchase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April 9, 2021, the Company entered into a program purchase agreement (the “Program Purchase Agreement”) with Les Laboratoires Servier and Institut de Recherches Internationales Servier (collectively, “Servier”), pursuant to which the Company reacquired all of its global development and commercialization rights previously granted to Servier pursuant to the Development and Commercial License Agreement by and between Servier and the Company, dated February 24, 2016, as amended (the “Servier Agreement”), and mutually terminated the Servier Agreement.</w:t>
      </w:r>
    </w:p>
    <w:p>
      <w:pPr>
        <w:pStyle w:val="TextBody"/>
        <w:bidi w:val="0"/>
        <w:spacing w:lineRule="auto" w:line="288" w:before="0" w:after="240"/>
        <w:jc w:val="left"/>
        <w:rPr/>
      </w:pPr>
      <w:r>
        <w:rPr>
          <w:rFonts w:ascii="Times New Roman;serif" w:hAnsi="Times New Roman;serif"/>
          <w:b w:val="false"/>
          <w:color w:val="000000"/>
          <w:sz w:val="20"/>
        </w:rPr>
        <w:t xml:space="preserve">The Program Purchase Agreement requires the Company to make certain payments to Servier based on the achievement of regulatory and commercial milestones for each product. Management assessed the likelihood of each of the regulatory and commercial milestones included in the Program Purchase Agreement in accordance with ASC 450, </w:t>
      </w:r>
      <w:r>
        <w:rPr>
          <w:rFonts w:ascii="Times New Roman;serif" w:hAnsi="Times New Roman;serif"/>
          <w:b w:val="false"/>
          <w:i/>
          <w:color w:val="000000"/>
          <w:sz w:val="20"/>
        </w:rPr>
        <w:t>Contingencies</w:t>
      </w:r>
      <w:r>
        <w:rPr>
          <w:rFonts w:ascii="Times New Roman;serif" w:hAnsi="Times New Roman;serif"/>
          <w:b w:val="false"/>
          <w:color w:val="000000"/>
          <w:sz w:val="20"/>
        </w:rPr>
        <w:t>. If the assessment of a contingency indicates that it is probable that the milestone will be achieved and the amount of the liability can be estimated, then the estimated liability would be accrued in the Company’s condensed financial statements.</w:t>
      </w:r>
    </w:p>
    <w:p>
      <w:pPr>
        <w:pStyle w:val="TextBody"/>
        <w:bidi w:val="0"/>
        <w:spacing w:lineRule="auto" w:line="288" w:before="0" w:after="4800"/>
        <w:jc w:val="left"/>
        <w:rPr>
          <w:rFonts w:ascii="Times New Roman;serif" w:hAnsi="Times New Roman;serif"/>
          <w:b w:val="false"/>
          <w:color w:val="000000"/>
          <w:sz w:val="20"/>
        </w:rPr>
      </w:pPr>
      <w:r>
        <w:rPr>
          <w:rFonts w:ascii="Times New Roman;serif" w:hAnsi="Times New Roman;serif"/>
          <w:b w:val="false"/>
          <w:color w:val="000000"/>
          <w:sz w:val="20"/>
        </w:rPr>
        <w:t>Accordingly, contingent liabilities of $10.0 million related to the Program Purchase Agreement are accrued and included in contract liabilities in the condensed balance sheets as of June 30,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an operating lease for real estate in North Carolina and does not have any finance leases.</w:t>
      </w:r>
    </w:p>
    <w:p>
      <w:pPr>
        <w:pStyle w:val="TextBody"/>
        <w:bidi w:val="0"/>
        <w:spacing w:lineRule="auto" w:line="288" w:before="0" w:after="480"/>
        <w:jc w:val="left"/>
        <w:rPr>
          <w:rFonts w:ascii="Times New Roman;serif" w:hAnsi="Times New Roman;serif"/>
          <w:b w:val="false"/>
          <w:color w:val="000000"/>
          <w:sz w:val="20"/>
        </w:rPr>
      </w:pPr>
      <w:r>
        <w:rPr>
          <w:rFonts w:ascii="Times New Roman;serif" w:hAnsi="Times New Roman;serif"/>
          <w:b w:val="false"/>
          <w:color w:val="000000"/>
          <w:sz w:val="20"/>
        </w:rPr>
        <w:t>The elements of lease expense were as follows:</w:t>
      </w:r>
    </w:p>
    <w:tbl>
      <w:tblPr>
        <w:tblW w:w="6490" w:type="dxa"/>
        <w:jc w:val="left"/>
        <w:tblInd w:w="0" w:type="dxa"/>
        <w:tblLayout w:type="fixed"/>
        <w:tblCellMar>
          <w:top w:w="28" w:type="dxa"/>
          <w:left w:w="28" w:type="dxa"/>
          <w:bottom w:w="28" w:type="dxa"/>
          <w:right w:w="28" w:type="dxa"/>
        </w:tblCellMar>
      </w:tblPr>
      <w:tblGrid>
        <w:gridCol w:w="1310"/>
        <w:gridCol w:w="1148"/>
        <w:gridCol w:w="1156"/>
        <w:gridCol w:w="236"/>
        <w:gridCol w:w="670"/>
        <w:gridCol w:w="308"/>
        <w:gridCol w:w="131"/>
        <w:gridCol w:w="131"/>
        <w:gridCol w:w="131"/>
        <w:gridCol w:w="236"/>
        <w:gridCol w:w="670"/>
        <w:gridCol w:w="363"/>
      </w:tblGrid>
      <w:tr>
        <w:trPr/>
        <w:tc>
          <w:tcPr>
            <w:tcW w:w="131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12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Cost</w:t>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w:t>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lease cost</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cost</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Sublease income</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Cost</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3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Information</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used for operating leases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997 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969 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(in years)</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discount rate</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3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non-cancelable operating leases with terms of greater than one year as of June 30, 2026, were as follows:</w:t>
      </w:r>
    </w:p>
    <w:tbl>
      <w:tblPr>
        <w:tblW w:w="3155" w:type="dxa"/>
        <w:jc w:val="left"/>
        <w:tblInd w:w="0" w:type="dxa"/>
        <w:tblLayout w:type="fixed"/>
        <w:tblCellMar>
          <w:top w:w="28" w:type="dxa"/>
          <w:left w:w="28" w:type="dxa"/>
          <w:bottom w:w="28" w:type="dxa"/>
          <w:right w:w="28" w:type="dxa"/>
        </w:tblCellMar>
      </w:tblPr>
      <w:tblGrid>
        <w:gridCol w:w="815"/>
        <w:gridCol w:w="715"/>
        <w:gridCol w:w="719"/>
        <w:gridCol w:w="196"/>
        <w:gridCol w:w="556"/>
        <w:gridCol w:w="154"/>
      </w:tblGrid>
      <w:tr>
        <w:trPr/>
        <w:tc>
          <w:tcPr>
            <w:tcW w:w="8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22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 (remainder of year)</w:t>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payments</w:t>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6,509 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lease liabilities</w:t>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5,680 </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Supply Agreements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enters into contracts in the normal course of business with contract manufacturing organizations (“CMOs”) for the manufacture of clinical trial materials and contract research organizations (“CROs”) for clinical trial services. These agreements provide for termination at the request of either party with less than one-year’s notice and are, therefore, cancellable contracts. If canceled, these agreements are not anticipated to have a material effect on the financial condition, results of operations, or cash flows of the Company.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Compensatory Arrangements of Certain Officers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August 26, 2025, the Company entered into amended and restated employment agreements to help retain each of its then-serving executive officers: Michael Amoroso, the Company’s President and Chief Executive Officer; Alex Kelly, the Company’s Chief Financial Officer; Dario Scimeca, the Company’s General Counsel and Secretary; and Jeff Smith, the Company’s Chief Research Officer. The amended employment agreements include, among other things, a requirement to fund the cash severance and expenses in an escrow account. As a result, the Company entered into escrow arrangements with JPMorgan Chase Bank, N.A. and the executives with respect to the funded amounts. Interest earned from the escrow account accrues to the Company and any unused funds return to the Company. As of June 30, 2026, the escrow account cash balance was $3.8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5:            STOCKHOLDERS’ EQUITY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Capital Structure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March 1, 2024, the Company entered into an underwriting agreement relating to a public offering of (i) 2,500,000 shares of the Company’s common stock, par value $0.000005 per share, and (ii) warrants to purchase up to an aggregate of 2,500,000 shares of the Company’s common stock (the “March 2024 Public Offering”). The warrants have a five-year term and an exercise price of $20.00 per share. Each warrant is exercisable immediately upon issuance, subject to certain limitations on beneficial ownership. The price to the public in the March 2024 Public Offering was $16.00 per share of common stock and accompanying warrants, which resulted in approximately $37.0 million of net proceeds to the Company after deducting the underwriting discount and offering expenses of approximately $3.0 million.</w:t>
      </w:r>
    </w:p>
    <w:p>
      <w:pPr>
        <w:pStyle w:val="TextBody"/>
        <w:bidi w:val="0"/>
        <w:spacing w:lineRule="auto" w:line="288" w:before="0" w:after="240"/>
        <w:jc w:val="left"/>
        <w:rPr/>
      </w:pPr>
      <w:r>
        <w:rPr>
          <w:rFonts w:ascii="Times New Roman;serif" w:hAnsi="Times New Roman;serif"/>
          <w:b w:val="false"/>
          <w:color w:val="000000"/>
          <w:sz w:val="20"/>
        </w:rPr>
        <w:t>On November 10, 2025, the Company entered into an underwriting agreement relating to the issuance and sale of 10,815,000</w:t>
      </w:r>
      <w:r>
        <w:rPr>
          <w:color w:val="000000"/>
          <w:shd w:fill="FFFFFF" w:val="clear"/>
        </w:rPr>
        <w:t xml:space="preserve"> </w:t>
      </w:r>
      <w:r>
        <w:rPr>
          <w:rFonts w:ascii="Times New Roman;serif" w:hAnsi="Times New Roman;serif"/>
          <w:b w:val="false"/>
          <w:color w:val="000000"/>
          <w:sz w:val="20"/>
          <w:shd w:fill="FFFFFF" w:val="clear"/>
        </w:rPr>
        <w:t xml:space="preserve">shares of the Company's common stock, par value </w:t>
      </w:r>
      <w:r>
        <w:rPr>
          <w:rFonts w:ascii="Times New Roman;serif" w:hAnsi="Times New Roman;serif"/>
          <w:b w:val="false"/>
          <w:color w:val="000000"/>
          <w:sz w:val="20"/>
        </w:rPr>
        <w:t>$0.000005 per share,</w:t>
      </w:r>
      <w:r>
        <w:rPr>
          <w:color w:val="000000"/>
          <w:shd w:fill="FFFFFF" w:val="clear"/>
        </w:rPr>
        <w:t xml:space="preserve"> </w:t>
      </w:r>
      <w:r>
        <w:rPr>
          <w:rFonts w:ascii="Times New Roman;serif" w:hAnsi="Times New Roman;serif"/>
          <w:b w:val="false"/>
          <w:color w:val="000000"/>
          <w:sz w:val="20"/>
        </w:rPr>
        <w:t>and accompanying one-half warrants to purchase up to 5,407,500 shares of the Company's common stock</w:t>
      </w:r>
      <w:r>
        <w:rPr>
          <w:color w:val="000000"/>
          <w:shd w:fill="FFFFFF" w:val="clear"/>
        </w:rPr>
        <w:t xml:space="preserve"> </w:t>
      </w:r>
      <w:r>
        <w:rPr>
          <w:rFonts w:ascii="Times New Roman;serif" w:hAnsi="Times New Roman;serif"/>
          <w:b w:val="false"/>
          <w:color w:val="000000"/>
          <w:sz w:val="20"/>
          <w:shd w:fill="FFFFFF" w:val="clear"/>
        </w:rPr>
        <w:t xml:space="preserve">at a combined price of </w:t>
      </w:r>
      <w:r>
        <w:rPr>
          <w:rFonts w:ascii="Times New Roman;serif" w:hAnsi="Times New Roman;serif"/>
          <w:b w:val="false"/>
          <w:color w:val="000000"/>
          <w:sz w:val="20"/>
        </w:rPr>
        <w:t>$6.14</w:t>
      </w:r>
      <w:r>
        <w:rPr>
          <w:color w:val="000000"/>
          <w:shd w:fill="FFFFFF" w:val="clear"/>
        </w:rPr>
        <w:t xml:space="preserve"> </w:t>
      </w:r>
      <w:r>
        <w:rPr>
          <w:rFonts w:ascii="Times New Roman;serif" w:hAnsi="Times New Roman;serif"/>
          <w:b w:val="false"/>
          <w:color w:val="000000"/>
          <w:sz w:val="20"/>
          <w:shd w:fill="FFFFFF" w:val="clear"/>
        </w:rPr>
        <w:t xml:space="preserve">per share. Further, in lieu of common stock to certain investors, the Company issued pre-funded warrants to purchase up to </w:t>
      </w:r>
      <w:r>
        <w:rPr>
          <w:rFonts w:ascii="Times New Roman;serif" w:hAnsi="Times New Roman;serif"/>
          <w:b w:val="false"/>
          <w:color w:val="000000"/>
          <w:sz w:val="20"/>
        </w:rPr>
        <w:t xml:space="preserve">1,400,000 </w:t>
      </w:r>
      <w:r>
        <w:rPr>
          <w:rFonts w:ascii="Times New Roman;serif" w:hAnsi="Times New Roman;serif"/>
          <w:b w:val="false"/>
          <w:color w:val="000000"/>
          <w:sz w:val="20"/>
          <w:shd w:fill="FFFFFF" w:val="clear"/>
        </w:rPr>
        <w:t xml:space="preserve">shares of the Company's common stock and accompanying one-half warrants to purchase up to </w:t>
      </w:r>
      <w:r>
        <w:rPr>
          <w:rFonts w:ascii="Times New Roman;serif" w:hAnsi="Times New Roman;serif"/>
          <w:b w:val="false"/>
          <w:color w:val="000000"/>
          <w:sz w:val="20"/>
        </w:rPr>
        <w:t>700,000</w:t>
      </w:r>
      <w:r>
        <w:rPr>
          <w:color w:val="000000"/>
          <w:shd w:fill="FFFFFF" w:val="clear"/>
        </w:rPr>
        <w:t xml:space="preserve"> </w:t>
      </w:r>
      <w:r>
        <w:rPr>
          <w:rFonts w:ascii="Times New Roman;serif" w:hAnsi="Times New Roman;serif"/>
          <w:b w:val="false"/>
          <w:color w:val="000000"/>
          <w:sz w:val="20"/>
          <w:shd w:fill="FFFFFF" w:val="clear"/>
        </w:rPr>
        <w:t xml:space="preserve">shares of the Company's common stock at a combined price of </w:t>
      </w:r>
      <w:r>
        <w:rPr>
          <w:rFonts w:ascii="Times New Roman;serif" w:hAnsi="Times New Roman;serif"/>
          <w:b w:val="false"/>
          <w:color w:val="000000"/>
          <w:sz w:val="20"/>
        </w:rPr>
        <w:t>$6.139995</w:t>
      </w:r>
      <w:r>
        <w:rPr>
          <w:color w:val="000000"/>
          <w:shd w:fill="FFFFFF" w:val="clear"/>
        </w:rPr>
        <w:t xml:space="preserve"> </w:t>
      </w:r>
      <w:r>
        <w:rPr>
          <w:rFonts w:ascii="Times New Roman;serif" w:hAnsi="Times New Roman;serif"/>
          <w:b w:val="false"/>
          <w:color w:val="000000"/>
          <w:sz w:val="20"/>
          <w:shd w:fill="FFFFFF" w:val="clear"/>
        </w:rPr>
        <w:t xml:space="preserve">per share. Each whole warrant has a </w:t>
      </w:r>
      <w:r>
        <w:rPr>
          <w:rFonts w:ascii="Times New Roman;serif" w:hAnsi="Times New Roman;serif"/>
          <w:b w:val="false"/>
          <w:color w:val="000000"/>
          <w:sz w:val="20"/>
        </w:rPr>
        <w:t>five</w:t>
      </w:r>
      <w:r>
        <w:rPr>
          <w:rFonts w:ascii="Times New Roman;serif" w:hAnsi="Times New Roman;serif"/>
          <w:b w:val="false"/>
          <w:color w:val="000000"/>
          <w:sz w:val="20"/>
          <w:shd w:fill="FFFFFF" w:val="clear"/>
        </w:rPr>
        <w:t xml:space="preserve">-year term and an exercise price of </w:t>
      </w:r>
      <w:r>
        <w:rPr>
          <w:rFonts w:ascii="Times New Roman;serif" w:hAnsi="Times New Roman;serif"/>
          <w:b w:val="false"/>
          <w:color w:val="000000"/>
          <w:sz w:val="20"/>
        </w:rPr>
        <w:t>$7.25</w:t>
      </w:r>
      <w:r>
        <w:rPr>
          <w:color w:val="000000"/>
          <w:shd w:fill="FFFFFF" w:val="clear"/>
        </w:rPr>
        <w:t xml:space="preserve"> </w:t>
      </w:r>
      <w:r>
        <w:rPr>
          <w:rFonts w:ascii="Times New Roman;serif" w:hAnsi="Times New Roman;serif"/>
          <w:b w:val="false"/>
          <w:color w:val="000000"/>
          <w:sz w:val="20"/>
          <w:shd w:fill="FFFFFF" w:val="clear"/>
        </w:rPr>
        <w:t>per share.</w:t>
      </w:r>
      <w:r>
        <w:rPr>
          <w:color w:val="000000"/>
        </w:rPr>
        <w:t xml:space="preserve"> </w:t>
      </w:r>
      <w:r>
        <w:rPr>
          <w:rFonts w:ascii="Times New Roman;serif" w:hAnsi="Times New Roman;serif"/>
          <w:b w:val="false"/>
          <w:color w:val="000000"/>
          <w:sz w:val="20"/>
        </w:rPr>
        <w:t>The offering resulted in approximately $70.0 million of net proceeds to the Company after deducting the underwriting discount and offering expenses of approximately $5.0 million. During the six months ended June 30, 2026, pre-funded warrants were exercised to purchase 1,400,000 shares of the Company's common stock. No pre-funded warrants remained outstanding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6:            COLLABORATION AND LICENSE AGREEMENTS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TG Therapeutics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January 7, 2024, the Company entered into a license agreement (the “TG License Agreement”) with TG Cell Therapy, Inc. (“TG Subsidiary”) and its parent company TG Therapeutics, Inc. (“TG Parent” and, together with TG Subsidiary, “TG Therapeutics”), pursuant to which the Company granted TG Subsidiary certain exclusive and non-exclusive license rights to develop, manufacture, and commercialize azer-cel for autoimmune diseases and other indications outside of cancer pursuant to the terms of the TG License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TG License Agreement, the Company received an upfront cash payment of $10.0 million (the “Upfront Payment”) comprised of (i) a $5.25 million cash payment that was paid to the Company on February 5, 2024, (ii) a $2.25 million cash payment that was paid to the Company on February 5, 2024 in exchange for 97,360 shares of the Company’s common stock, based on a price per share equal to a 100% premium to the VWAP of the Company’s common stock for the 30 trading days prior to the date of the TG License Agreement, and (iii) a deferred cash payment of $2.5 million that was paid to the Company on January 6, 2025 in exchange for 220,712 shares of the Company’s common stock at a price per share of $11.33, which represented a 100% premium to the VWAP of the Company’s common stock for the 30 trading days prior to the date of payment. The Company also received a cash payment of $7.5 million from TG Therapeutics on March 12, 2026 following the achievement of a clinical milestone (the “Initial Milestone Payment”). The Initial Milestone payment of $7.5 million consisted of (i) $5.25 million cash milestone payment and (ii) a $2.25 million cash payment in exchange for 201,504 shares of the Company’s common stock based on the minimum price of $11.1660 determined in accordance with Nasdaq Listing Rule 5635(d). The Company is also entitled to receive additional payments upon the achievement of additional specified milestones of up to $288.6 million.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201,504 shares purchased at a purchase price of $11.1660 per share in connection with the Initial Milestone represented a premium paid over the Company's stock value at the milestone achievement date. Management concluded that the stock premium was to be combined with the cash consideration received in connection with the achievement of the milestone in accordance with ASC 606. Of the total $7.5 million received for the Initial Milestone achievement, the Company applied equity accounting guidance to measure the $0.7 million recorded in equity upon issuance of the shares, and $6.8 million was identified as the transaction price of the milestone that would be allocated to revenue. As such, during the six months ended June 30, 2026, the Company recognized $6.8 million revenue under the TG License Agreement. During the six months ended June 30, 2025, the Company recognized no revenue under the TG License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Collaboration and License Agreement with Novartis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recognized no revenue under the collaboration and license agreement between the Company and Novartis Pharma AG (the “Novartis Agreement”) as the Novartis Agreement was terminated in the prior year. During the six months ended June 30, 2025, the Company recognized revenue under the Novartis Agreement of less than $0.1 million. There is no deferred revenue related to the Novartis Agreement as of June 30, 2026 or December 31, 2025.</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Development and License Agreement with iECURE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adjusts the carrying value of the iECURE, Inc. (“iECURE”) equity to fair value each reporting period with any changes in fair value recorded to other (expense) income. There was no change in the fair value of the iECURE equity during the six months ended June 30, 2026 and a 2.5 million decrease in the fair value of the iECURE equity during the six months ended June 30, 2025.</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Research and License Agreement with an Agriculture Industry Collaboration Partner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recognized $4.0 million in revenue under a legacy ARCUS gene editing research and license agreement milestone from an agriculture industry collaboration partner. The collaboration was concluded in April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7:            SHARE-BASED COMPENSATION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previously granted stock options under its 2015 Stock Incentive Plan (the “2015 Plan”). As of June 30, 2026 there were 15,784 stock options outstanding under the 2015 Plan and no remaining stock options available to be granted under the 2015 Plan.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2019 Incentive Award Plan (as amended and restated, the “2019 Plan”) provides for the grant of incentive stock options, non-qualified stock options, stock appreciation rights, restricted stock, restricted stock units and other share-based awards. The 2019 Plan had 35,626 stock options and 2,899,866 restricted stock units (“RSUs”) outstanding as of June 30,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number of shares available for issuance under the 2019 Plan initially equaled 158,333 shares of common stock. The 2019 Plan provides for an annual increase to the number of shares of common stock available for issuance on the first day of each calendar year beginning January 1, 2020 and ending on and including January 1, 2029 by an amount equal to the lesser of (i) 4% of the aggregate number of shares of common stock outstanding on the final day of the immediately preceding calendar year and (ii) such smaller number of shares of common stock as determined by the board of directors. As of June 30, 2026, the aggregate number of shares available for issuance under the 2019 Plan has been increased by 1,825,822 pursuant to this provision. Additionally, the number of shares available for issuance under the plan was increased by an additional 630,000 shares in connection with the amendment and restatement of the 2019 Plan approved at the Company’s annual meeting of stockholders on June 4, 2024 and by an additional 3,800,000 shares in connection with the amendment and restatement of the 2019 Plan approved at the Company’s annual meeting of stockholders on May 21, 2026. Any shares that are subject to awards outstanding under the Company’s 2006 Plan and 2015 Plan as of the effective date of the 2019 Plan that expire, lapse, or are terminated, exchanged for cash, surrendered, repurchased, or canceled without having been fully exercised or forfeited, to the extent so unused, will become available for award grants under the 2019 Plan. As of June 30, 2026, 2,284,462 shares were available to be issued under the 2019 Plan.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purchase price of the shares under the 2019 ESPP, in the absence of a contrary designation, will be 85% of the lower of the fair market value of our common stock on the first trading day of the offering period or on the purchase date. As of June 30, 2026, we had issued 130,143 shares under the 2019 ESPP. As of June 30, 2026, 20,900 shares were available to be issued under the 2019 ESPP. The Company recognized share-based compensation expense related to the 2019 ESPP of less than $0.1 million during each of the six months ended June 30, 2026 and the six months ended June 30,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2021 Employment Inducement Incentive Award Plan (as amended, the “Inducement Award Plan”) provides for the grant of non-qualified stock options, stock appreciation rights, restricted stock, RSUs and other share-based awards to newly hired employees who have not previously been an employee or member of the board, or an employee who is being rehired following a bona fide period of non-employment by the Company. No more than 1,100,000 shares of the Company’s common stock may be issued under the Inducement Award Plan. As of June 30, 2026, 976,785 shares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available to be issued under the Inducement Award Plan. The Inducement Award Plan had 96,201 stock options and 13,804 RSUs outstanding as of June 30,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recorded employee and nonemployee share-based compensation expense as follows (in thousands):</w:t>
      </w:r>
    </w:p>
    <w:tbl>
      <w:tblPr>
        <w:tblW w:w="6155" w:type="dxa"/>
        <w:jc w:val="left"/>
        <w:tblInd w:w="0" w:type="dxa"/>
        <w:tblLayout w:type="fixed"/>
        <w:tblCellMar>
          <w:top w:w="28" w:type="dxa"/>
          <w:left w:w="28" w:type="dxa"/>
          <w:bottom w:w="28" w:type="dxa"/>
          <w:right w:w="28" w:type="dxa"/>
        </w:tblCellMar>
      </w:tblPr>
      <w:tblGrid>
        <w:gridCol w:w="402"/>
        <w:gridCol w:w="353"/>
        <w:gridCol w:w="356"/>
        <w:gridCol w:w="233"/>
        <w:gridCol w:w="663"/>
        <w:gridCol w:w="130"/>
        <w:gridCol w:w="130"/>
        <w:gridCol w:w="130"/>
        <w:gridCol w:w="130"/>
        <w:gridCol w:w="233"/>
        <w:gridCol w:w="663"/>
        <w:gridCol w:w="130"/>
        <w:gridCol w:w="109"/>
        <w:gridCol w:w="109"/>
        <w:gridCol w:w="109"/>
        <w:gridCol w:w="213"/>
        <w:gridCol w:w="605"/>
        <w:gridCol w:w="118"/>
        <w:gridCol w:w="118"/>
        <w:gridCol w:w="118"/>
        <w:gridCol w:w="118"/>
        <w:gridCol w:w="213"/>
        <w:gridCol w:w="605"/>
        <w:gridCol w:w="167"/>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Employee</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1,692 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3,106 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5,379 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Nonemployee</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1,844 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2,937 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3,393 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5,758 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is included in the following line items in the condensed statements of operations (in thousands):</w:t>
      </w:r>
    </w:p>
    <w:tbl>
      <w:tblPr>
        <w:tblW w:w="7054" w:type="dxa"/>
        <w:jc w:val="left"/>
        <w:tblInd w:w="0" w:type="dxa"/>
        <w:tblLayout w:type="fixed"/>
        <w:tblCellMar>
          <w:top w:w="28" w:type="dxa"/>
          <w:left w:w="28" w:type="dxa"/>
          <w:bottom w:w="28" w:type="dxa"/>
          <w:right w:w="28" w:type="dxa"/>
        </w:tblCellMar>
      </w:tblPr>
      <w:tblGrid>
        <w:gridCol w:w="728"/>
        <w:gridCol w:w="640"/>
        <w:gridCol w:w="642"/>
        <w:gridCol w:w="233"/>
        <w:gridCol w:w="663"/>
        <w:gridCol w:w="130"/>
        <w:gridCol w:w="130"/>
        <w:gridCol w:w="130"/>
        <w:gridCol w:w="130"/>
        <w:gridCol w:w="233"/>
        <w:gridCol w:w="663"/>
        <w:gridCol w:w="130"/>
        <w:gridCol w:w="109"/>
        <w:gridCol w:w="109"/>
        <w:gridCol w:w="109"/>
        <w:gridCol w:w="213"/>
        <w:gridCol w:w="605"/>
        <w:gridCol w:w="118"/>
        <w:gridCol w:w="118"/>
        <w:gridCol w:w="118"/>
        <w:gridCol w:w="118"/>
        <w:gridCol w:w="213"/>
        <w:gridCol w:w="605"/>
        <w:gridCol w:w="16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0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23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3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3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11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16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1,844 </w:t>
            </w:r>
          </w:p>
        </w:tc>
        <w:tc>
          <w:tcPr>
            <w:tcW w:w="13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2,937 </w:t>
            </w:r>
          </w:p>
        </w:tc>
        <w:tc>
          <w:tcPr>
            <w:tcW w:w="13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3,393 </w:t>
            </w:r>
          </w:p>
        </w:tc>
        <w:tc>
          <w:tcPr>
            <w:tcW w:w="11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5,758 </w:t>
            </w:r>
          </w:p>
        </w:tc>
        <w:tc>
          <w:tcPr>
            <w:tcW w:w="16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activity in the Company’s stock option plans for the six months ended June 30, 2026:</w:t>
      </w:r>
    </w:p>
    <w:tbl>
      <w:tblPr>
        <w:tblW w:w="7735" w:type="dxa"/>
        <w:jc w:val="left"/>
        <w:tblInd w:w="0" w:type="dxa"/>
        <w:tblLayout w:type="fixed"/>
        <w:tblCellMar>
          <w:top w:w="28" w:type="dxa"/>
          <w:left w:w="28" w:type="dxa"/>
          <w:bottom w:w="28" w:type="dxa"/>
          <w:right w:w="28" w:type="dxa"/>
        </w:tblCellMar>
      </w:tblPr>
      <w:tblGrid>
        <w:gridCol w:w="905"/>
        <w:gridCol w:w="798"/>
        <w:gridCol w:w="801"/>
        <w:gridCol w:w="744"/>
        <w:gridCol w:w="744"/>
        <w:gridCol w:w="746"/>
        <w:gridCol w:w="109"/>
        <w:gridCol w:w="109"/>
        <w:gridCol w:w="109"/>
        <w:gridCol w:w="525"/>
        <w:gridCol w:w="1732"/>
        <w:gridCol w:w="413"/>
      </w:tblGrid>
      <w:tr>
        <w:trPr/>
        <w:tc>
          <w:tcPr>
            <w:tcW w:w="90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Outstanding Option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Weighted-Average Exercise Price</w:t>
            </w:r>
          </w:p>
        </w:tc>
      </w:tr>
      <w:tr>
        <w:trPr/>
        <w:tc>
          <w:tcPr>
            <w:tcW w:w="25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2234"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168,993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3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165.54 </w:t>
            </w:r>
          </w:p>
        </w:tc>
        <w:tc>
          <w:tcPr>
            <w:tcW w:w="41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223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Forfeited/canceled</w:t>
            </w:r>
          </w:p>
        </w:tc>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270.63 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2234" w:type="dxa"/>
            <w:gridSpan w:val="3"/>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147,611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3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150.32 </w:t>
            </w:r>
          </w:p>
        </w:tc>
        <w:tc>
          <w:tcPr>
            <w:tcW w:w="41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fair value of each RSU was determined based on the closing market price of the Company’s common stock on the date of grant. The fair value of the RSUs will be recognized as expense over the requisite vesting period.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RSU activity for the six months ended June 30, 2026:</w:t>
      </w:r>
    </w:p>
    <w:tbl>
      <w:tblPr>
        <w:tblW w:w="7914" w:type="dxa"/>
        <w:jc w:val="left"/>
        <w:tblInd w:w="0" w:type="dxa"/>
        <w:tblLayout w:type="fixed"/>
        <w:tblCellMar>
          <w:top w:w="28" w:type="dxa"/>
          <w:left w:w="28" w:type="dxa"/>
          <w:bottom w:w="28" w:type="dxa"/>
          <w:right w:w="28" w:type="dxa"/>
        </w:tblCellMar>
      </w:tblPr>
      <w:tblGrid>
        <w:gridCol w:w="1122"/>
        <w:gridCol w:w="989"/>
        <w:gridCol w:w="993"/>
        <w:gridCol w:w="379"/>
        <w:gridCol w:w="379"/>
        <w:gridCol w:w="381"/>
        <w:gridCol w:w="109"/>
        <w:gridCol w:w="109"/>
        <w:gridCol w:w="109"/>
        <w:gridCol w:w="802"/>
        <w:gridCol w:w="1910"/>
        <w:gridCol w:w="632"/>
      </w:tblGrid>
      <w:tr>
        <w:trPr/>
        <w:tc>
          <w:tcPr>
            <w:tcW w:w="11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RSU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Weighted-Average Grant Date Fair Value</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RSUs as of December 31, 2025</w:t>
            </w:r>
          </w:p>
        </w:tc>
        <w:tc>
          <w:tcPr>
            <w:tcW w:w="11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1,623,933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6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1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2,028,345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11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(720,490)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RSUs as of June 30, 2026</w:t>
            </w:r>
          </w:p>
        </w:tc>
        <w:tc>
          <w:tcPr>
            <w:tcW w:w="113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2,913,670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6.88 </w:t>
            </w:r>
          </w:p>
        </w:tc>
        <w:tc>
          <w:tcPr>
            <w:tcW w:w="6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was approximately $17.8 million of total unrecognized compensation cost related to unvested stock options and RSUs as of June 30, 2026, which is expected to be recognized over a weighted-average period of 2.2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8:            INCOME TAXES</w:t>
      </w:r>
    </w:p>
    <w:p>
      <w:pPr>
        <w:pStyle w:val="TextBody"/>
        <w:bidi w:val="0"/>
        <w:spacing w:lineRule="auto" w:line="288" w:before="0" w:after="240"/>
        <w:jc w:val="left"/>
        <w:rPr/>
      </w:pPr>
      <w:r>
        <w:rPr>
          <w:rFonts w:ascii="Times New Roman;serif" w:hAnsi="Times New Roman;serif"/>
          <w:b w:val="false"/>
          <w:color w:val="000000"/>
          <w:sz w:val="20"/>
        </w:rPr>
        <w:t xml:space="preserve">The Company estimates an annual effective tax rate of 0% for the year ending December 31, 2026 as the Company incurred losses for financial statement and tax purposes for the six months ended June 30, 2026. The Company is forecasting additional net losses for financial statement and tax purposes for the remainder of the year ending December 31, 2026. Therefore, no federal or state income taxes are expected, and none have been recorded at this time. Income taxes have been accounted for using the liability method in accordance with ASC 740, </w:t>
      </w:r>
      <w:r>
        <w:rPr>
          <w:rFonts w:ascii="Times New Roman;serif" w:hAnsi="Times New Roman;serif"/>
          <w:b w:val="false"/>
          <w:i/>
          <w:color w:val="000000"/>
          <w:sz w:val="20"/>
        </w:rPr>
        <w:t>Income Taxes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Due to the Company's history of losses since inception, there is not enough evidence at this time to support that the Company will generate future income of a sufficient amount and nature to utilize the benefits of its net deferred tax assets. Accordingly, the deferred tax assets have been reduced by a full valuation allowance, since the Company does not currently believe that realization of its deferred tax assets is more likely than not.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no unrecognized tax benefits that would reduce the Company’s effective tax rate if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9:            EARNINGS PER SHARE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calculates basic net loss per share by dividing net loss for each respective period by the weighted-average number of common shares outstanding for each respective period. The Company computes diluted net loss per share after giving consideration to the dilutive effect of unvested RSUs, stock options, unsettled ESPP contributions, and warrants that are outstanding during the period, except where such securities would be anti-dilutive.</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The computations of basic and diluted net loss per share attributable to common stockholders are as follows:</w:t>
      </w:r>
    </w:p>
    <w:tbl>
      <w:tblPr>
        <w:tblW w:w="8478" w:type="dxa"/>
        <w:jc w:val="left"/>
        <w:tblInd w:w="0" w:type="dxa"/>
        <w:tblLayout w:type="fixed"/>
        <w:tblCellMar>
          <w:top w:w="28" w:type="dxa"/>
          <w:left w:w="28" w:type="dxa"/>
          <w:bottom w:w="28" w:type="dxa"/>
          <w:right w:w="28" w:type="dxa"/>
        </w:tblCellMar>
      </w:tblPr>
      <w:tblGrid>
        <w:gridCol w:w="1209"/>
        <w:gridCol w:w="1065"/>
        <w:gridCol w:w="1070"/>
        <w:gridCol w:w="196"/>
        <w:gridCol w:w="723"/>
        <w:gridCol w:w="109"/>
        <w:gridCol w:w="109"/>
        <w:gridCol w:w="109"/>
        <w:gridCol w:w="109"/>
        <w:gridCol w:w="196"/>
        <w:gridCol w:w="723"/>
        <w:gridCol w:w="109"/>
        <w:gridCol w:w="109"/>
        <w:gridCol w:w="109"/>
        <w:gridCol w:w="109"/>
        <w:gridCol w:w="196"/>
        <w:gridCol w:w="721"/>
        <w:gridCol w:w="109"/>
        <w:gridCol w:w="109"/>
        <w:gridCol w:w="109"/>
        <w:gridCol w:w="109"/>
        <w:gridCol w:w="196"/>
        <w:gridCol w:w="721"/>
        <w:gridCol w:w="154"/>
      </w:tblGrid>
      <w:tr>
        <w:trPr/>
        <w:tc>
          <w:tcPr>
            <w:tcW w:w="12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 thousands)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(44,085)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weighted-average common shares</w:t>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25,856,628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11,046,401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25,248,912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10,174,193</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impact of share-based awards</w:t>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weighted-average common shares (1)</w:t>
            </w:r>
          </w:p>
        </w:tc>
        <w:tc>
          <w:tcPr>
            <w:tcW w:w="10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25,856,628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11,046,401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25,248,912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10,174,193</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loss per share:</w:t>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loss per share</w:t>
            </w:r>
          </w:p>
        </w:tc>
        <w:tc>
          <w:tcPr>
            <w:tcW w:w="9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loss per share:</w:t>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loss per share</w:t>
            </w:r>
          </w:p>
        </w:tc>
        <w:tc>
          <w:tcPr>
            <w:tcW w:w="919"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(1)For the three and six months ended June 30, 2026 and June 30, 2025, all outstanding total common stock equivalents were excluded from the diluted calculation as their inclusion would have been anti-dilutive. For the three and six months ended June 30, 2026, the Company excluded the following potential common shares, based on amounts outstanding at period end, from the computation of diluted net loss per share because including them would have had an anti-dilutive effect under the treasury stock method: 199,558 unvested RSUs and 9,170 unsettled ESPP contributions for the three months ended June 30, 2026 and 115,244 unvested RSUs and 7,716 unsettled ESPP contributions for the six months ended June 30, 2026.</w:t>
      </w:r>
    </w:p>
    <w:p>
      <w:pPr>
        <w:pStyle w:val="TextBody"/>
        <w:bidi w:val="0"/>
        <w:spacing w:before="0" w:after="240"/>
        <w:ind w:left="0" w:right="0" w:firstLine="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10:            SEGMENT REPORTING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Operating segments are identified as components of an entity about which separate discrete financial information is available for evaluation by the chief operating decision maker or decision-making group (“CODM”) in making decisions on how to allocate resources and assess performance. The Company’s CODM, the Chief Executive Officer, views the Company’s operations as one operating segment, which includes the discovery and development of therapies utilizing our novel proprietary ARCUS platform. Our clinical and preclinical candidates were developed using the ARCUS platform to treat various forms of infectious and genetic disease.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not generated any revenue from product sales to date and expects to incur significant expenses and operating losses for the foreseeable future as it advances product candidates through development and clinical trials. As such, the CODM uses cash forecast models in managing and allocating resources on a total company basis, such as pursuing clinical development or entering into potential strategic collaborations. The CODM assesses the overall level of resources available and how to best deploy these resources across functions and research and development projects that are in line with the Company’s long-term strategic goals.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Consistent with its management reporting, results of operations are reported on a Company-wide basis for purposes of segment reporting. The CODM uses Company-wide financial information, including net income (loss) and comprehensive income (loss), net cash used in operating activities for the period, and cash on hand for purposes of evaluating operating results and performance. As the Company operates in one operating segment, all measures of the segment assets are reported on the balance sheets as total assets. Please refer to the financial statements for further information related to these measures of segment performance.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tables below summarize the significant research and development and general and administrative expense categories regularly provided to the CODM for the three months ended June 30, 2026 and June 30, 2025 and the six months ended June 30, 2026 and June 30, 2025. Due to the pause in development of the PBGENE-3243 program to prioritize the Company’s two lead programs, PBGENE-HBV and PBGENE-DMD, expenses for PBGENE-3243 have been recast for the periods presented below. The amounts previously reported under “PBGENE-3243 external development costs” are now reported within the “Platform development and early-stage research expense” line items:</w:t>
      </w:r>
    </w:p>
    <w:tbl>
      <w:tblPr>
        <w:tblW w:w="7107" w:type="dxa"/>
        <w:jc w:val="left"/>
        <w:tblInd w:w="0" w:type="dxa"/>
        <w:tblLayout w:type="fixed"/>
        <w:tblCellMar>
          <w:top w:w="28" w:type="dxa"/>
          <w:left w:w="28" w:type="dxa"/>
          <w:bottom w:w="28" w:type="dxa"/>
          <w:right w:w="28" w:type="dxa"/>
        </w:tblCellMar>
      </w:tblPr>
      <w:tblGrid>
        <w:gridCol w:w="1696"/>
        <w:gridCol w:w="1488"/>
        <w:gridCol w:w="1495"/>
        <w:gridCol w:w="196"/>
        <w:gridCol w:w="723"/>
        <w:gridCol w:w="109"/>
        <w:gridCol w:w="109"/>
        <w:gridCol w:w="109"/>
        <w:gridCol w:w="109"/>
        <w:gridCol w:w="196"/>
        <w:gridCol w:w="723"/>
        <w:gridCol w:w="154"/>
      </w:tblGrid>
      <w:tr>
        <w:trPr/>
        <w:tc>
          <w:tcPr>
            <w:tcW w:w="1696"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10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2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 research and development expenses by product candidate:</w:t>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PBGENE-HBV external development costs</w:t>
            </w:r>
          </w:p>
        </w:tc>
        <w:tc>
          <w:tcPr>
            <w:tcW w:w="91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PBGENE-DMD external development costs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Platform development and early-stage research expenses:</w:t>
            </w:r>
          </w:p>
        </w:tc>
        <w:tc>
          <w:tcPr>
            <w:tcW w:w="102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Employee-related costs (including share-based compensation)</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Laboratory supplies and services</w:t>
            </w:r>
          </w:p>
        </w:tc>
        <w:tc>
          <w:tcPr>
            <w:tcW w:w="91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CMOs and outsourced research and development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Facility-related costs, laboratory equipment, and maintenance</w:t>
            </w:r>
          </w:p>
        </w:tc>
        <w:tc>
          <w:tcPr>
            <w:tcW w:w="91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Licensing fees and other research and development costs</w:t>
            </w:r>
          </w:p>
        </w:tc>
        <w:tc>
          <w:tcPr>
            <w:tcW w:w="91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research and development expenses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12,768 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102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Employee-related costs (including share-based compensation)</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Consulting and professional services</w:t>
            </w:r>
          </w:p>
        </w:tc>
        <w:tc>
          <w:tcPr>
            <w:tcW w:w="91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 and all other costs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general and administrative expenses</w:t>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9,127 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21,895 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919"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(19,161)</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(21,877)</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income</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(32,652)</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(23,520)</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tbl>
      <w:tblPr>
        <w:tblW w:w="7988" w:type="dxa"/>
        <w:jc w:val="left"/>
        <w:tblInd w:w="0" w:type="dxa"/>
        <w:tblLayout w:type="fixed"/>
        <w:tblCellMar>
          <w:top w:w="28" w:type="dxa"/>
          <w:left w:w="28" w:type="dxa"/>
          <w:bottom w:w="28" w:type="dxa"/>
          <w:right w:w="28" w:type="dxa"/>
        </w:tblCellMar>
      </w:tblPr>
      <w:tblGrid>
        <w:gridCol w:w="1947"/>
        <w:gridCol w:w="1714"/>
        <w:gridCol w:w="1723"/>
        <w:gridCol w:w="211"/>
        <w:gridCol w:w="796"/>
        <w:gridCol w:w="109"/>
        <w:gridCol w:w="109"/>
        <w:gridCol w:w="109"/>
        <w:gridCol w:w="109"/>
        <w:gridCol w:w="211"/>
        <w:gridCol w:w="796"/>
        <w:gridCol w:w="154"/>
      </w:tblGrid>
      <w:tr>
        <w:trPr/>
        <w:tc>
          <w:tcPr>
            <w:tcW w:w="1947"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3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research and development expenses by product candidate: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PBGENE-HBV external development costs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PBGENE-DMD external development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development and early-stage research expenses:</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costs (including share-based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supplies and services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CMOs and outsourced 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Facility-related costs, laboratory equipment, and maintenance</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fees and other research and development costs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26,356 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costs (including share-based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 and professional services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and all other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13,570 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17,680 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44,036 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0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(28,236)</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(43,989)</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(51,093)</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(44,085)</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(51,093)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(44,085)</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11: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warrants issued in the March 2024 Public Offering and 2025 November 2025 Public Offering are classified as liabilities in accordance with ASC 815, since these warrants met the definition of a derivative instrument and did not qualify for equity classification. These warrant agreements include a fundamental transaction clause whereby, in the event that another person or entity becomes the beneficial owner of 50% of the outstanding shares of the Company’s common stock, and if other conditions are met, the Company may be required to purchase the warrants from the holders by paying cash in an amount equal to the Black-Scholes value of the remaining unexercised portion of the warrants on the date of such fundamental transaction. This liability is subject to remeasurement at each balance sheet date until the warrants are exercised or expire, and any change in fair value is recognized in the Company’s condensed statements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fair value adjustment of the March 2024 Public Offering for the six months ended June 30, 2026 was $3.4 million using the Black-Scholes option-pricing model. As of June 30, 2026, all of the 2,500,000 warrants are outstanding. The Company estimated the fair value of the warrant liability using the following assumptions as of June 30, 2026:</w:t>
      </w:r>
    </w:p>
    <w:tbl>
      <w:tblPr>
        <w:tblW w:w="4488" w:type="dxa"/>
        <w:jc w:val="left"/>
        <w:tblInd w:w="0" w:type="dxa"/>
        <w:tblLayout w:type="fixed"/>
        <w:tblCellMar>
          <w:top w:w="28" w:type="dxa"/>
          <w:left w:w="28" w:type="dxa"/>
          <w:bottom w:w="28" w:type="dxa"/>
          <w:right w:w="28" w:type="dxa"/>
        </w:tblCellMar>
      </w:tblPr>
      <w:tblGrid>
        <w:gridCol w:w="1277"/>
        <w:gridCol w:w="1122"/>
        <w:gridCol w:w="1126"/>
        <w:gridCol w:w="196"/>
        <w:gridCol w:w="466"/>
        <w:gridCol w:w="301"/>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dividend yield</w:t>
            </w:r>
          </w:p>
        </w:tc>
        <w:tc>
          <w:tcPr>
            <w:tcW w:w="66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0.00 </w:t>
            </w:r>
          </w:p>
        </w:tc>
        <w:tc>
          <w:tcPr>
            <w:tcW w:w="30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expected stock price volatility</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78.08 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risk-free interest rate</w:t>
            </w:r>
          </w:p>
        </w:tc>
        <w:tc>
          <w:tcPr>
            <w:tcW w:w="6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 (in years)</w:t>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w:t>
            </w:r>
          </w:p>
        </w:tc>
      </w:tr>
      <w:tr>
        <w:trPr/>
        <w:tc>
          <w:tcPr>
            <w:tcW w:w="35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fair value per option</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fair value adjustment of the November 2025 Public Offering for the six months ended June 30, 2026 was $17.6 million using the Black-Scholes option-pricing model. As of June 30, 2026, all of the 6,107,500 warrants are outstanding. The Company estimated the fair value of the warrant liability using the following assumptions as of June 30, 2026:</w:t>
      </w:r>
    </w:p>
    <w:tbl>
      <w:tblPr>
        <w:tblW w:w="4488" w:type="dxa"/>
        <w:jc w:val="left"/>
        <w:tblInd w:w="0" w:type="dxa"/>
        <w:tblLayout w:type="fixed"/>
        <w:tblCellMar>
          <w:top w:w="28" w:type="dxa"/>
          <w:left w:w="28" w:type="dxa"/>
          <w:bottom w:w="28" w:type="dxa"/>
          <w:right w:w="28" w:type="dxa"/>
        </w:tblCellMar>
      </w:tblPr>
      <w:tblGrid>
        <w:gridCol w:w="1277"/>
        <w:gridCol w:w="1122"/>
        <w:gridCol w:w="1126"/>
        <w:gridCol w:w="196"/>
        <w:gridCol w:w="466"/>
        <w:gridCol w:w="301"/>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dividend yield</w:t>
            </w:r>
          </w:p>
        </w:tc>
        <w:tc>
          <w:tcPr>
            <w:tcW w:w="6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0.00 </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expected stock price volatility</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81.23 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risk-free interest rate</w:t>
            </w:r>
          </w:p>
        </w:tc>
        <w:tc>
          <w:tcPr>
            <w:tcW w:w="6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 (in years)</w:t>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w:t>
            </w:r>
          </w:p>
        </w:tc>
      </w:tr>
      <w:tr>
        <w:trPr/>
        <w:tc>
          <w:tcPr>
            <w:tcW w:w="35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fair value per option</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warrant liability (in thousands):</w:t>
      </w:r>
    </w:p>
    <w:tbl>
      <w:tblPr>
        <w:tblW w:w="3891" w:type="dxa"/>
        <w:jc w:val="left"/>
        <w:tblInd w:w="0" w:type="dxa"/>
        <w:tblLayout w:type="fixed"/>
        <w:tblCellMar>
          <w:top w:w="28" w:type="dxa"/>
          <w:left w:w="28" w:type="dxa"/>
          <w:bottom w:w="28" w:type="dxa"/>
          <w:right w:w="28" w:type="dxa"/>
        </w:tblCellMar>
      </w:tblPr>
      <w:tblGrid>
        <w:gridCol w:w="1047"/>
        <w:gridCol w:w="922"/>
        <w:gridCol w:w="926"/>
        <w:gridCol w:w="196"/>
        <w:gridCol w:w="646"/>
        <w:gridCol w:w="154"/>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warrants</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warrant liability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36,693 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12:      SUBSEQUENT EVENTS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evaluated all subsequent events through the issuance date of these financial statements and no subsequent events occurred that required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Financial Statements and the related notes to those statements included elsewhere in this Quarterly Report on Form 10-Q.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important factors, including those set forth in Part II. Item 1A. “Risk Factors” of this Quarterly Report on Form 10-Q, our actual results could differ materially from the results described in, or implied by, these forward-looking statements. As used in this Quarterly Report on Form 10-Q, unless the context otherwise requires, references to “we,” “us,” “our,” the “Company” and “Precision” refer to Precision BioSciences,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jc w:val="left"/>
        <w:rPr/>
      </w:pPr>
      <w:r>
        <w:rPr>
          <w:rFonts w:ascii="Times New Roman;serif" w:hAnsi="Times New Roman;serif"/>
          <w:b w:val="false"/>
          <w:color w:val="000000"/>
          <w:sz w:val="20"/>
        </w:rPr>
        <w:t xml:space="preserve">We are a clinical stage gene editing company dedicated to improving life by developing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therapies for genetic and infectious diseases with the application of our wholly-owned proprietary ARCUS genome editing platform. The foundation of ARCUS is a natural homing endonuclease which allows us to replicate precise gene editing as it evolved in nature for sophisticated gene edits, including gene insertion, excision, and elimination. ARCUS is also unique in its relatively small size which potentially allows delivery to a wider range of cells and tissues using viral and non-viral gene delivery methods.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Wholly-Owned Portfolio</w:t>
      </w:r>
    </w:p>
    <w:p>
      <w:pPr>
        <w:pStyle w:val="TextBody"/>
        <w:bidi w:val="0"/>
        <w:spacing w:lineRule="auto" w:line="268" w:before="0" w:after="240"/>
        <w:jc w:val="left"/>
        <w:rPr/>
      </w:pPr>
      <w:r>
        <w:rPr>
          <w:rFonts w:ascii="Times New Roman;serif" w:hAnsi="Times New Roman;serif"/>
          <w:b w:val="false"/>
          <w:color w:val="000000"/>
          <w:sz w:val="20"/>
        </w:rPr>
        <w:t xml:space="preserve">PBGENE-HBV is our wholly owned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gene editing program under investigation in a global clinical trial, ELIMINATE-B, which is designed to be a potentially curative treatment for chronic hepatitis B infection. PBGENE-HBV targets and eliminates covalently closed circular DNA (“cccDNA”), the sole source of viral replication, leading to sustained loss of pre-genomic RNA (“pgRNA”), the precursor for hepatitis B virus (“HBV”) DNA. PBGENE-HBV is the first and only </w:t>
      </w:r>
      <w:r>
        <w:rPr>
          <w:rFonts w:ascii="Times New Roman;serif" w:hAnsi="Times New Roman;serif"/>
          <w:b w:val="false"/>
          <w:i/>
          <w:color w:val="000000"/>
          <w:sz w:val="20"/>
        </w:rPr>
        <w:t xml:space="preserve">in vivo </w:t>
      </w:r>
      <w:r>
        <w:rPr>
          <w:rFonts w:ascii="Times New Roman;serif" w:hAnsi="Times New Roman;serif"/>
          <w:b w:val="false"/>
          <w:color w:val="000000"/>
          <w:sz w:val="20"/>
        </w:rPr>
        <w:t>gene elimination approach to prospectively employ repeat administrations of lipid nanoparticle (“LNP”) in chronic hepatitis B with the goal of complete viral cure.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May 27, 2026, we presented new and late-breaking clinical data from the ongoing ELIMINATE-B study at the European Association for the Study of the Liver (“EASL”) Congress 2026 in Barcelona, Spain. The data cut on May 4, 2026 was based on 38 doses administered across 16 patients in five cohorts.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Liver biopsy data demonstrated a 1-log (10-fold) reduction in cccDNA-derived transcripts in one patient after only two administrations of PBGENE-HBV at 0.4 mg/kg, with less than 1% of cccDNA remaining post-treatment. Further biopsy analysis of a second patient, who received three doses at the same dose level and schedule, demonstrated that repeat administrations of PBGENE-HBV cumulatively increase the anti-cccDNA effect in the liver. Together, the biopsy data delivered proof that a gene editor can directly target and eliminate cccDNA in chronic hepatitis B patients.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treatment with PBGENE-HBV, pgRNA became durably undetectable in 100% of patients who had detectable pgRNA prior to treatment. Importantly, the loss of pgRNA was ongoing for up to six months as of the data cut-off. This sustained loss of pgRNA demonstrates the durability of PBGENE-HBV's elimination mechanism designed to directly target and eradicate cccDNA.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Substantial S-antigen declines were observed in 100% of patients treated, and durability was demonstrated in patients across all dose levels being investigated ranging from 0.2mg/kg to 0.8mg/kg. Additionally, the first patient dosed in the ELIMINATE-B trial continued to demonstrate substantial reductions more than one year after dosing.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No dose-limiting toxicities have been observed in 16 patients across five cohorts. The etiology of LNP-related hypotension observed during dose escalation was identified and ameliorated through straightforward mitigation measures such as a longer infusion time and a short course of steroids at the time of infusion.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Since the data update, we have opened new trial sites and continue enrolling additional patients, expanding cohorts 4 (0.4 mg/kg) and 5 (0.65 mg/kg), while collecting additional biopsies and blood biomarker data to further assess viral elimination. The current and future datasets are expected to inform selection of the optimal dosing schedule for Part 2 expansion. We continue our work with global investigators for next phase study design and expect to provide additional updates on the ELIMINATE-B trial progress by the end of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PBGENE-DMD is our wholly-owned development candidate for Duchenne muscular dystrophy, or DMD. PBGENE-DMD is designed to durably improve function for approximately 60% of patients with DMD. By employing two complementary ARCUS nucleases in a single adeno-associated virus (“AAV”), PBGENE-DMD excises exons 45-55 of the dystrophin gene, restoring expression of a near full-length dystrophin protein. </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presented new preclinical data at the American Society of Gene &amp; Cell Therapy (“ASGCT”) 2026 Annual Meeting in Boston, Massachusetts. The new data showed that treatment with PBGENE-DMD in early-juvenile mice resulted in significantly higher efficacy across key skeletal and respiratory muscles than treatment in late-juvenile mice over a comparable timeframe. This new data further supports evaluating PBGENE-DMD in younger DMD patient populations, including the 2- to 3-year-old patients, who are a key demographic of the ongoing Phase 1/2 FUNCTION-DMD trial evaluating PBGENE-DMD in boys ages 2 to 7.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continue to advance the Phase 1/2 FUNCTION-DMD clinical trial, with two clinical trial sites now active: Arkansas Children's Hospital and Washington University School of Medicine, both recognized centers of excellence for DMD care.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study is actively recruiting patients with initial safety data expected for year-end 2026.</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Partnered In Vivo Gene Editing Program</w:t>
      </w:r>
    </w:p>
    <w:p>
      <w:pPr>
        <w:pStyle w:val="TextBody"/>
        <w:bidi w:val="0"/>
        <w:spacing w:lineRule="auto" w:line="288" w:before="0" w:after="240"/>
        <w:jc w:val="left"/>
        <w:rPr/>
      </w:pPr>
      <w:r>
        <w:rPr>
          <w:rFonts w:ascii="Times New Roman;serif" w:hAnsi="Times New Roman;serif"/>
          <w:b w:val="false"/>
          <w:color w:val="000000"/>
          <w:sz w:val="20"/>
        </w:rPr>
        <w:t>In partnership with iECURE, ECUR-506 is an ARCUS-mediated</w:t>
      </w:r>
      <w:r>
        <w:rPr>
          <w:color w:val="000000"/>
        </w:rPr>
        <w:t xml:space="preserve">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targeted gene insertion program currently in a first-in-human trial, OTC-HOPE, evaluating ECUR-506 as a potential treatment for neonatal-onset ornithine transcarbamylase (“OTC”) deficiency. iECURE previously announced alignment with the U.S. Food and Drug Administration (“FDA”) on key study elements that could support a potential Biologics License Application (“BLA”). The OTC-HOPE study is ongoing in the U.K., the U.S., Australia, and Spain.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iECURE presented clinical data at ASGCT in May 2026, including preliminary data from study participants in the first three dose cohorts (n=7) of the ongoing OTC-HOPE study, and demonstrated that 71% of participants experienced no hyperammonemic crises following ECUR-506 administration. In addition, iECURE presented a poster at the Society for Inherited Metabolic Disorders (“SIMD”) Annual Meeting in May 2026 featuring one-year post-treatment data from the first infant dosed in the study who achieved a complete clinical response as defined by study protocol.</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Non-Core Ex Vivo Programs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Imugene continues development of azer-cel in diffuse large B-cell lymphoma and has received written guidance from the FDA regarding the registrational pathway for azer-cel. The guidance provided clear alignment with the FDA across key elements required to support advancement into a pivotal study, including dosing regimen, patient population, endpoints, and manufacturing readiness. Azer-cel data presented at the 2026 American Society of Clinical Oncology Annual Meeting in May 2026 demonstrated that among 24 patients evaluable for response following their first disease assessment at Day 28, response rates ranging from 50%-100% were observed across all six cancer subtypes.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Separately, azer-cel is being evaluated by TG Therapeutics (Nasdaq: TGTX) in a Phase 1 trial in progressive multiple sclerosis. We previously announced the achievement of a clinical milestone under our license agreement with TG Therapeutics. As a result, we have earned a cash payment of $7.5 million in proceeds, inclusive of $5.25 million cash and $2.25 million for the purchase of 201,504 shares of our common stock by TG Therapeutics at $11.17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date, we have not generated any revenue from product sales and do not expect to generate any revenue from product sales in the foreseeable future. We record revenue from collaboration agreements, including amounts related to upfront payments, milestone payments, fees for licenses of our intellectual property and research and development funding.</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costs incurred for our research activities, including our discovery efforts and the development of our product candidates. These include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salaries, benefits and other related costs, including share-based compensation expense, for personnel engaged in research and development functions;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expenses incurred under agreements with third parties, including third parties that conduct preclinical research and development activities on our behalf;</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costs of manufacturing drug products for use in our preclinical studies, including the costs of contract manufacturing organizations (“CMOs”);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costs of outside consultants;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costs of laboratory supplies and acquiring, developing and manufacturing preclinical study materials;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license payments made for intellectual property used in research and development activities;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facility-related expenses, which include direct depreciation costs and expenses for rent and maintenance of facilities and other operating costs if specifically identifiable to research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expense research and development costs as incurred. We track external research and development costs by product candidate beginning when it is publicly named as a development program. Internal and external costs that are not identifiable to specific development candidates are included in the platform development expenses category.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Research and development activities are central to our business model. We expect that our research and development expenses will increase over the long term and will comprise a larger percentage of our total expenses as we progress development of our product candidates.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cannot determine with certainty the duration and costs of future clinical trials for our product candidates we may develop or if, when or to what extent we will generate revenue from the commercialization and sale of any product candidate for which we obtain marketing approval. We may never succeed in obtaining marketing approval for any product candidate. The duration, costs and timing of clinical trials and development of our product candidates will depend on a variety of factors, including: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scope, rate of progress, expense and results of future clinical trials of our product candidates and other research and development activities that we may conduct;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ability to collaborate and partner with third parties to fund any or all of our programs;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uncertainties in clinical trial design and patient enrollment rates;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actual probability of success for our product candidates, including their safety and efficacy, early clinical data, competition, manufacturing capability and commercial viability;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significant and changing government regulation and regulatory guidance;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timing and receipt of any marketing approvals;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expense of filing, prosecuting, defending and enforcing any patent claims and other intellectual property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slower than expected patient enrollment or other reasons, we would be required to expend significant additional financial resources and time on the completion of clinical development.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salaries, consulting fees, recruitment-related costs and other employee-related costs, including share-based compensation, for personnel in our executive, finance, business development, operations and administrative functions. General and administrative expenses also include legal fees relating to intellectual property and corporate matters; information technology costs; insurance costs; travel expenses; and facility-related expenses, which include direct depreciation costs and expenses for rent and maintenance of facilities and other operating costs that are not specifically attributable to research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Change in Equity Method Investment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Changes in fair value on our equity method investment represents changes in the investment value of our equity method investee, Elo Life Systems, Inc. (“Elo”). In 2026, Elo is no longer classified as an equity method investment. Any subsequent changes to the investment’s fair value will be recorded through the other fair value adjustments line item.</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Changes in Other Fair Value Adjustments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change in fair value represents the assessed changes in assets and liabilities carried at fair value.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adjust the carrying value of the ordinary shares issued from Imugene to its fair value each reporting period with any changes in fair value recorded to other income (expense). We adjust the carrying value of the iECURE investment under the iECURE Equity Agreement to its fair value each reporting period with any changes in fair value recorded to other (expense) income.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Warrant Liability</w:t>
      </w:r>
    </w:p>
    <w:p>
      <w:pPr>
        <w:pStyle w:val="TextBody"/>
        <w:bidi w:val="0"/>
        <w:spacing w:lineRule="auto" w:line="288" w:before="0" w:after="240"/>
        <w:jc w:val="left"/>
        <w:rPr/>
      </w:pPr>
      <w:r>
        <w:rPr>
          <w:rFonts w:ascii="Times New Roman;serif" w:hAnsi="Times New Roman;serif"/>
          <w:b w:val="false"/>
          <w:color w:val="000000"/>
          <w:sz w:val="20"/>
        </w:rPr>
        <w:t xml:space="preserve">The change in fair value of warrant liability represents the mark-to-market fair value adjustments to the outstanding warrants issued in connection with the March 2024 Public Offering and November 2025 Public Offering. Refer to Note 11, </w:t>
      </w:r>
      <w:r>
        <w:rPr>
          <w:rFonts w:ascii="Times New Roman;serif" w:hAnsi="Times New Roman;serif"/>
          <w:b w:val="false"/>
          <w:i/>
          <w:color w:val="000000"/>
          <w:sz w:val="20"/>
        </w:rPr>
        <w:t>Warrants</w:t>
      </w:r>
      <w:r>
        <w:rPr>
          <w:rFonts w:ascii="Times New Roman;serif" w:hAnsi="Times New Roman;serif"/>
          <w:b w:val="false"/>
          <w:color w:val="000000"/>
          <w:sz w:val="20"/>
        </w:rPr>
        <w:t xml:space="preserve">, in the accompanying notes to the financial statements for more information on the fair value assumptions.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expense consists of interest payments incurred and discount amortization on debt outstanding.</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income consists of interest income earned on our cash and cash equivalents.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Gain (Loss) on Disposal of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Gain (loss) on disposal of assets represents the difference between the sale price and remaining net book value of sold assets at the time of their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Comparison of the Three Months Ended June 30, 2026 and June 30,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three months ended June 30, 2026 and June 30, 2025, together with the changes in those items:</w:t>
      </w:r>
    </w:p>
    <w:tbl>
      <w:tblPr>
        <w:tblW w:w="8976" w:type="dxa"/>
        <w:jc w:val="left"/>
        <w:tblInd w:w="0" w:type="dxa"/>
        <w:tblLayout w:type="fixed"/>
        <w:tblCellMar>
          <w:top w:w="28" w:type="dxa"/>
          <w:left w:w="28" w:type="dxa"/>
          <w:bottom w:w="28" w:type="dxa"/>
          <w:right w:w="28" w:type="dxa"/>
        </w:tblCellMar>
      </w:tblPr>
      <w:tblGrid>
        <w:gridCol w:w="1425"/>
        <w:gridCol w:w="1249"/>
        <w:gridCol w:w="1256"/>
        <w:gridCol w:w="250"/>
        <w:gridCol w:w="923"/>
        <w:gridCol w:w="139"/>
        <w:gridCol w:w="139"/>
        <w:gridCol w:w="139"/>
        <w:gridCol w:w="139"/>
        <w:gridCol w:w="250"/>
        <w:gridCol w:w="923"/>
        <w:gridCol w:w="139"/>
        <w:gridCol w:w="109"/>
        <w:gridCol w:w="109"/>
        <w:gridCol w:w="109"/>
        <w:gridCol w:w="196"/>
        <w:gridCol w:w="631"/>
        <w:gridCol w:w="851"/>
      </w:tblGrid>
      <w:tr>
        <w:trPr/>
        <w:tc>
          <w:tcPr>
            <w:tcW w:w="142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13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9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5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85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12,394 </w:t>
            </w:r>
          </w:p>
        </w:tc>
        <w:tc>
          <w:tcPr>
            <w:tcW w:w="1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12,768 </w:t>
            </w:r>
          </w:p>
        </w:tc>
        <w:tc>
          <w:tcPr>
            <w:tcW w:w="1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(2,360)</w:t>
            </w:r>
          </w:p>
        </w:tc>
        <w:tc>
          <w:tcPr>
            <w:tcW w:w="85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9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17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19,161 </w:t>
            </w:r>
          </w:p>
        </w:tc>
        <w:tc>
          <w:tcPr>
            <w:tcW w:w="13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21,895 </w:t>
            </w:r>
          </w:p>
        </w:tc>
        <w:tc>
          <w:tcPr>
            <w:tcW w:w="13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(2,734)</w:t>
            </w:r>
          </w:p>
        </w:tc>
        <w:tc>
          <w:tcPr>
            <w:tcW w:w="85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11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(19,161)</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(21,877)</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2,716 </w:t>
            </w:r>
          </w:p>
        </w:tc>
        <w:tc>
          <w:tcPr>
            <w:tcW w:w="8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131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method investment</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changes in other fair value adjustments</w:t>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(2,464)</w:t>
            </w:r>
          </w:p>
        </w:tc>
        <w:tc>
          <w:tcPr>
            <w:tcW w:w="1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2,220 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change in fair value of warrant liability</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(13,891)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(14,644)</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w:t>
            </w:r>
          </w:p>
        </w:tc>
        <w:tc>
          <w:tcPr>
            <w:tcW w:w="1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disposal of assets</w:t>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851"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11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(13,491)</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(1,643)</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(11,848)</w:t>
            </w:r>
          </w:p>
        </w:tc>
        <w:tc>
          <w:tcPr>
            <w:tcW w:w="8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50"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(32,652)</w:t>
            </w:r>
          </w:p>
        </w:tc>
        <w:tc>
          <w:tcPr>
            <w:tcW w:w="139"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(23,520)</w:t>
            </w:r>
          </w:p>
        </w:tc>
        <w:tc>
          <w:tcPr>
            <w:tcW w:w="139"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(9,132)</w:t>
            </w:r>
          </w:p>
        </w:tc>
        <w:tc>
          <w:tcPr>
            <w:tcW w:w="851"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 revenue was recognized for the three months ended June 30, 2026 compared to less than $0.1 million for the three months ended June 30, 2025. Revenue from the prior period was generated from the Novartis Agreement.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Due to the pause in development of PBGENE-3243 to prioritize our two lead programs, PBGENE-HBV and PBGENE-DMD, expenses for PBGENE-3243 have been recast for the periods presented below. The amounts previously reporting under “PBGENE-3243 external development costs” are now reported within the “Platform development and early-stage research expense” line item.</w:t>
      </w:r>
    </w:p>
    <w:tbl>
      <w:tblPr>
        <w:tblW w:w="8232" w:type="dxa"/>
        <w:jc w:val="left"/>
        <w:tblInd w:w="0" w:type="dxa"/>
        <w:tblLayout w:type="fixed"/>
        <w:tblCellMar>
          <w:top w:w="28" w:type="dxa"/>
          <w:left w:w="28" w:type="dxa"/>
          <w:bottom w:w="28" w:type="dxa"/>
          <w:right w:w="28" w:type="dxa"/>
        </w:tblCellMar>
      </w:tblPr>
      <w:tblGrid>
        <w:gridCol w:w="1695"/>
        <w:gridCol w:w="1488"/>
        <w:gridCol w:w="1496"/>
        <w:gridCol w:w="209"/>
        <w:gridCol w:w="691"/>
        <w:gridCol w:w="116"/>
        <w:gridCol w:w="116"/>
        <w:gridCol w:w="116"/>
        <w:gridCol w:w="116"/>
        <w:gridCol w:w="209"/>
        <w:gridCol w:w="691"/>
        <w:gridCol w:w="116"/>
        <w:gridCol w:w="109"/>
        <w:gridCol w:w="109"/>
        <w:gridCol w:w="109"/>
        <w:gridCol w:w="196"/>
        <w:gridCol w:w="496"/>
        <w:gridCol w:w="154"/>
      </w:tblGrid>
      <w:tr>
        <w:trPr/>
        <w:tc>
          <w:tcPr>
            <w:tcW w:w="1695"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10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 research and development expenses by product candidate:</w:t>
            </w:r>
          </w:p>
        </w:tc>
        <w:tc>
          <w:tcPr>
            <w:tcW w:w="10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PBGENE-HBV external development costs</w:t>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PBGENE-DMD external development costs</w:t>
            </w:r>
          </w:p>
        </w:tc>
        <w:tc>
          <w:tcPr>
            <w:tcW w:w="90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4,259 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4,163 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Platform development and early-stage research expenses:</w:t>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Employee-related costs (including share-based compensation)</w:t>
            </w:r>
          </w:p>
        </w:tc>
        <w:tc>
          <w:tcPr>
            <w:tcW w:w="90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4,733 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4,766 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Laboratory supplies and services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CMOs and outsourced research and development</w:t>
            </w:r>
          </w:p>
        </w:tc>
        <w:tc>
          <w:tcPr>
            <w:tcW w:w="90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Facility-related costs, laboratory equipment, and maintenance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0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Licensing fees and other research and development costs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research and development expenses</w:t>
            </w:r>
          </w:p>
        </w:tc>
        <w:tc>
          <w:tcPr>
            <w:tcW w:w="2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12,394 </w:t>
            </w:r>
          </w:p>
        </w:tc>
        <w:tc>
          <w:tcPr>
            <w:tcW w:w="11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12,768 </w:t>
            </w:r>
          </w:p>
        </w:tc>
        <w:tc>
          <w:tcPr>
            <w:tcW w:w="11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three months ended June 30, 2026 were $12.4 million, compared to $12.8 million for the three months ended June 30, 2025. The decrease of $0.4 million was primarily due to a $1.1 million decrease in platform development and early-stage research expenses, partially offset by a $0.7 million increase in our direct expenses in PBGENE-HBV and PBGENE-DMD as the clinical programs continue to advance globally.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decrease in platform development and early-stage research expenses of $1.1 million was primarily the result of a decrease in licensing fees and other research and development costs as well as reduced lab supply expenses and facility-related costs as a result of reduced headcount. Direct expenses in PBGENE-HBV increased by $0.7 million, driven by translational assay development expenses and an increase in clinical material manufacturing.</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$6.8 million for the three months ended June 30, 2026, compared to $9.1 million for the three months ended June 30, 2025. The decrease of approximately $2.3 million was primarily a result of operational discipline and lower employee-related costs.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Gain from Equity Method Investment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2025, the $0.7 million non-cash gain from equity investment was the result of a $2.3 million gain recorded from our proportionate share of Elo’s proceeds from a Series A-2 financing in such period, partially offset by our proportionate share of Elo’s loss. In the three months ended June 30, 2026, Elo was not classified as an equity method investment. There were no changes to the investment value for the three months ended June 30, 2026 and any subsequent changes in the investment’s fair value will be recorded through other fair value adjustments.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Loss on Changes in Other Fair Value Adjustments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loss on changes in other fair value adjustments of $0.2 million for the three months ended June 30, 2026 is attributable to the non-cash decrease in fair value on the ordinary shares held for Imugene Limited. The loss on changes in other fair value adjustments of $2.5 million for the three months ended June 30, 2025 was primarily attributable to the non-cash decrease in fair value of the iECURE investment.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Loss on Change in Fair Value of Warrant Liability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non-cash loss from change in fair value of the warrant liability was $13.9 million for the three months ended June 30, 2026 compared to a non-cash gain of $0.8 million for the three months ended June 30, 2025 which represents the mark-to-market fair value adjustment to the outstanding warrants issued in connection with the March 2024 Public Offering and November 2025 Public Offering.</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expense was $0.3 million for the three months ended June 30, 2026 compared to $0.4 million for the three months ended June 30, 2025 primarily driven by declining interest rates on the 2024 Term Loan over the comparison period.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income was $0.9 million during the three months ended June 30, 2026 compared to $1.1 million during the three months ended June 30, 2025. The decrease of approximately $0.2 million was primarily driven by the Elo note receivable interest accrued for in the prior year as well as declining interest rates which was partially offset by a higher cash balance for the current period.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Gain (Loss) on Disposal of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Gain on disposal of assets was less than $0.1 million during the three months ended June 30, 2026 compared to the loss on disposal of assets of less than $0.1 million during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Comparison of the Six Months Ended June 30, 2026 and June 30,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six months ended June 30, 2026 and June 30, 2025, together with the changes in those items:</w:t>
      </w:r>
    </w:p>
    <w:tbl>
      <w:tblPr>
        <w:tblW w:w="8329" w:type="dxa"/>
        <w:jc w:val="left"/>
        <w:tblInd w:w="0" w:type="dxa"/>
        <w:tblLayout w:type="fixed"/>
        <w:tblCellMar>
          <w:top w:w="28" w:type="dxa"/>
          <w:left w:w="28" w:type="dxa"/>
          <w:bottom w:w="28" w:type="dxa"/>
          <w:right w:w="28" w:type="dxa"/>
        </w:tblCellMar>
      </w:tblPr>
      <w:tblGrid>
        <w:gridCol w:w="1262"/>
        <w:gridCol w:w="1106"/>
        <w:gridCol w:w="1112"/>
        <w:gridCol w:w="233"/>
        <w:gridCol w:w="859"/>
        <w:gridCol w:w="129"/>
        <w:gridCol w:w="129"/>
        <w:gridCol w:w="129"/>
        <w:gridCol w:w="129"/>
        <w:gridCol w:w="233"/>
        <w:gridCol w:w="859"/>
        <w:gridCol w:w="129"/>
        <w:gridCol w:w="109"/>
        <w:gridCol w:w="109"/>
        <w:gridCol w:w="109"/>
        <w:gridCol w:w="196"/>
        <w:gridCol w:w="646"/>
        <w:gridCol w:w="851"/>
      </w:tblGrid>
      <w:tr>
        <w:trPr/>
        <w:tc>
          <w:tcPr>
            <w:tcW w:w="126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12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48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3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10,838 </w:t>
            </w:r>
          </w:p>
        </w:tc>
        <w:tc>
          <w:tcPr>
            <w:tcW w:w="12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2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10,791 </w:t>
            </w:r>
          </w:p>
        </w:tc>
        <w:tc>
          <w:tcPr>
            <w:tcW w:w="85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25,504 </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26,356 </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(852)</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13,570 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17,680 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(4,110)</w:t>
            </w:r>
          </w:p>
        </w:tc>
        <w:tc>
          <w:tcPr>
            <w:tcW w:w="85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48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9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39,074 </w:t>
            </w:r>
          </w:p>
        </w:tc>
        <w:tc>
          <w:tcPr>
            <w:tcW w:w="12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44,036 </w:t>
            </w:r>
          </w:p>
        </w:tc>
        <w:tc>
          <w:tcPr>
            <w:tcW w:w="12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(4,962)</w:t>
            </w:r>
          </w:p>
        </w:tc>
        <w:tc>
          <w:tcPr>
            <w:tcW w:w="85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(28,236)</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(43,989)</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15,753 </w:t>
            </w:r>
          </w:p>
        </w:tc>
        <w:tc>
          <w:tcPr>
            <w:tcW w:w="8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12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from equity method investment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changes in other fair value adjustments</w:t>
            </w:r>
          </w:p>
        </w:tc>
        <w:tc>
          <w:tcPr>
            <w:tcW w:w="10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(3,195)</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(2,415)</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(780)</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change in fair value of warrant liability</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(20,998)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(20,947)</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(611)</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(712)</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disposal of assets</w:t>
            </w:r>
          </w:p>
        </w:tc>
        <w:tc>
          <w:tcPr>
            <w:tcW w:w="10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851"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(22,857)</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(22,761)</w:t>
            </w:r>
          </w:p>
        </w:tc>
        <w:tc>
          <w:tcPr>
            <w:tcW w:w="8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3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(51,093)</w:t>
            </w:r>
          </w:p>
        </w:tc>
        <w:tc>
          <w:tcPr>
            <w:tcW w:w="12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(44,085)</w:t>
            </w:r>
          </w:p>
        </w:tc>
        <w:tc>
          <w:tcPr>
            <w:tcW w:w="12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(7,008)</w:t>
            </w:r>
          </w:p>
        </w:tc>
        <w:tc>
          <w:tcPr>
            <w:tcW w:w="851"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Revenue for the six months ended June 30, 2026 was $10.8 million compared to less than $0.1 million for the six months ended June 30, 2025. Revenue from the prior period was generated from the Novartis Agreement. The increase in revenue was the result of revenue recognized under the TG License Agreement and a legacy ARCUS agriculture gene editing agreement during the six months ended June 30, 2026.</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tbl>
      <w:tblPr>
        <w:tblW w:w="8967" w:type="dxa"/>
        <w:jc w:val="left"/>
        <w:tblInd w:w="0" w:type="dxa"/>
        <w:tblLayout w:type="fixed"/>
        <w:tblCellMar>
          <w:top w:w="28" w:type="dxa"/>
          <w:left w:w="28" w:type="dxa"/>
          <w:bottom w:w="28" w:type="dxa"/>
          <w:right w:w="28" w:type="dxa"/>
        </w:tblCellMar>
      </w:tblPr>
      <w:tblGrid>
        <w:gridCol w:w="1951"/>
        <w:gridCol w:w="1713"/>
        <w:gridCol w:w="1721"/>
        <w:gridCol w:w="211"/>
        <w:gridCol w:w="721"/>
        <w:gridCol w:w="109"/>
        <w:gridCol w:w="109"/>
        <w:gridCol w:w="109"/>
        <w:gridCol w:w="109"/>
        <w:gridCol w:w="211"/>
        <w:gridCol w:w="721"/>
        <w:gridCol w:w="109"/>
        <w:gridCol w:w="109"/>
        <w:gridCol w:w="109"/>
        <w:gridCol w:w="109"/>
        <w:gridCol w:w="196"/>
        <w:gridCol w:w="496"/>
        <w:gridCol w:w="154"/>
      </w:tblGrid>
      <w:tr>
        <w:trPr/>
        <w:tc>
          <w:tcPr>
            <w:tcW w:w="1951"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53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research and development expenses by product candidate:</w:t>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PBGENE-HBV external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PBGENE-DMD external development costs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development and early-stage research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costs (including share-based compensation)</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supplies and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CMOs and outsourced research and development</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Facility-related costs, laboratory equipment, and maintenance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fees and other research and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25,504 </w:t>
            </w:r>
          </w:p>
        </w:tc>
        <w:tc>
          <w:tcPr>
            <w:tcW w:w="109"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26,356 </w:t>
            </w:r>
          </w:p>
        </w:tc>
        <w:tc>
          <w:tcPr>
            <w:tcW w:w="109"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(852)</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six months ended June 30, 2026 were $25.5 million, compared to $26.4 million for the six months ended June 30, 2025. The decrease of $0.9 million was primarily due to a $3.4 million decrease in platform development and early-stage research expenses, partially offset by a $2.5 million increase in our direct expenses in PBGENE-HBV and PBGENE-DMD as the clinical programs continue to advance globally.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decrease in platform development and early-stage research expenses of $3.4 million was primarily the result of paused development of the PBGENE-3243 program as well as a reduction in employee-related costs. Direct expenses in PBGENE-DMD increased by $1.7 million as we initiated Institutional Review Board (“IRB”) activities and clinical trial site activation for the FUNCTION-DMD Phase 1/2 clinical trial, and direct expenses in PBGENE-HBV increased by $0.9 million due to translational assay development expenses and an increase in clinical material manufacturing.</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$13.6 million for the six months ended June 30, 2026, compared to 17.7 million for the six months ended June 30, 2025. The decrease of approximately $4.1 million was primarily a result of operational discipline and lower employee-related costs.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Gain from Equity Method Investment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the $0.7 million non-cash gain from equity investment was the result of a $2.3 million gain recorded from our proportionate share of Elo’s proceeds from a Series A-2 financing in such period, partially offset by our proportionate share of Elo’s loss over the period. In the six months ended June 30, 2026, Elo was not classified as an equity method investment. There were no changes to the investment value for the six months ended June 30, 2026 and any subsequent changes in the investment’s fair value will be recorded through other fair value adjustments.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Loss on Changes in Other Fair Value Adjustments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non-cash loss on changes in other fair value adjustments was $3.2 million for the six months ended June 30, 2026, which is attributable to the decrease in fair value on the ordinary shares held for Imugene Limited. The non-cash loss on changes in other fair value adjustments was $2.4 million for the six months ended June 30, 2025, which was primarily attributable to the decrease in fair value of the iECURE investment in the prior period.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Loss on Change in Fair Value of Warrant Liability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non-cash loss from change in fair value of the warrant liability was $21.0 million for the six months ended June 30, 2026 compared to a non-cash loss of $0.1 million for the six months ended June 30, 2025, which represents the mark-to-market fair value adjustment to the outstanding warrants issued in connection with the March 2024 Public Offering and November 2025 Public Offering.</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expense was $0.6 million for the six months ended June 30, 2026 compared to $0.7 million for the six months ended June 30, 2025 primarily driven by declining interest rates on the 2024 Term Loan over the comparison period.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income was $1.9 million during the six months ended June 30, 2026 compared to $2.4 million during the six months ended June 30, 2025. The decrease of approximately $0.5 million was primarily driven by the Elo note receivable interest accrued for in the prior year as well as declining interest rates which was partially offset by a higher cash balance for the current period.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Gain (Loss) on Disposal of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Gain on disposal of assets was less than $0.1 million during the six months ended June 30, 2026 compared to the loss on disposal of assets of less than $0.1 million during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Since our formation in 2006, we have devoted substantially all of our resources to developing ARCUS, conducting research and development activities, recruiting skilled personnel, developing manufacturing processes, establishing our intellectual property portfolio and providing general and administrative support for these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incurred significant operating losses since our inception and have not generated any revenue from the sale of products. Our ability to generate any product revenue or product revenue sufficient to achieve profitability will depend on the successful development and eventual commercialization of one or more of our product candidates or the product candidates of our collaborators or other licensees for which we may receive milestone payments or royalties. As of June 30, 2026, we had an accumulated deficit of $579.3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expect to incur significant expenses and operating losses for the foreseeable future as we advance the development of our product candidates. We expect that our research and development and general and administrative costs will increase over the long term, including in connection with conducting preclinical studies and potential clinical trials for our product candidates, contracting with CROs and CMOs, expanding our intellectual property portfolio and providing general and administrative support for our operations. If we obtain regulatory approval for any of our product candidates, we expect to incur significant expenses related to developing our commercialization capability to support product sales, marketing and distribution. As a result, we will need additional capital to fund our operations, which we may obtain from additional equity or debt financings, collaborations, licensing arrangements or other sources.</w:t>
      </w:r>
    </w:p>
    <w:p>
      <w:pPr>
        <w:pStyle w:val="TextBody"/>
        <w:bidi w:val="0"/>
        <w:spacing w:lineRule="auto" w:line="288" w:before="0" w:after="240"/>
        <w:jc w:val="left"/>
        <w:rPr/>
      </w:pPr>
      <w:r>
        <w:rPr>
          <w:rFonts w:ascii="Times New Roman;serif" w:hAnsi="Times New Roman;serif"/>
          <w:b w:val="false"/>
          <w:color w:val="000000"/>
          <w:sz w:val="20"/>
        </w:rPr>
        <w:t>As of June 30, 2026, we had $112.4 million of cash, cash equivalents, and restricted cash under the 2024 Term Loan and compensatory arrangements with certain of our officers, respectively. Refer to Note 4,</w:t>
      </w:r>
      <w:r>
        <w:rPr>
          <w:color w:val="000000"/>
        </w:rPr>
        <w:t xml:space="preserve">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xml:space="preserve">, in the accompanying notes to the financial statements for more information on these compensatory arrangements. Pursuant to our July 31, 2024 amended and restated loan and security agreement with Banc of California (the “2024 Loan and Security Agreement”), we are not entitled to borrow any additional amounts under the 2024 Term Loan and are required to maintain an aggregate balance in a cash security account with Banc of California (the “Cash Security Account”) at least equal to the outstanding principal amount of the 2024 Term Loan then outstanding. </w:t>
      </w:r>
    </w:p>
    <w:p>
      <w:pPr>
        <w:pStyle w:val="TextBody"/>
        <w:bidi w:val="0"/>
        <w:spacing w:lineRule="auto" w:line="288" w:before="0" w:after="240"/>
        <w:jc w:val="both"/>
        <w:rPr/>
      </w:pPr>
      <w:r>
        <w:rPr>
          <w:rFonts w:ascii="Times New Roman;serif" w:hAnsi="Times New Roman;serif"/>
          <w:b w:val="false"/>
          <w:color w:val="000000"/>
          <w:sz w:val="20"/>
        </w:rPr>
        <w:t>As described in Part II. Item 1A. “</w:t>
      </w:r>
      <w:r>
        <w:rPr>
          <w:rFonts w:ascii="Times New Roman;serif" w:hAnsi="Times New Roman;serif"/>
          <w:b w:val="false"/>
          <w:i/>
          <w:color w:val="000000"/>
          <w:sz w:val="20"/>
        </w:rPr>
        <w:t>Risk Factors</w:t>
      </w:r>
      <w:r>
        <w:rPr>
          <w:rFonts w:ascii="Times New Roman;serif" w:hAnsi="Times New Roman;serif"/>
          <w:b w:val="false"/>
          <w:color w:val="000000"/>
          <w:sz w:val="20"/>
        </w:rPr>
        <w:t>,” we believe that, as of the date of this Quarterly Report on Form 10-Q, existing cash and cash equivalents, continued fiscal and operating discipline, and availability of our at-the-market (“ATM”) facility will be sufficient to fund our operating expenses and capital expenditure requirements through 2028. There are no assurances that we will be successful in obtaining an adequate level of financing as and when needed to finance our operations on terms acceptable to us or at all, particularly in light of current global macroeconomic conditions. If we are unable to obtain sufficient financing on a timely basis or on favorable terms, we may be required to significantly delay, alter reduce or eliminate one or more of our research or product development programs and/or commercialization efforts, or to grant rights to develop and market products or product candidates that we would otherwise prefer to develop and market ourselves. We may also be otherwise unable to execute our business plan or growth strategy, or capitalize on business opportunities as desired. Any of these events could materially adversely affect our financial condition and business prospects.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the development of therapeutic products, we are unable to predict the timing or amount of our future expenses or when or if we will be able to achieve or maintain profitability. Even if we are able to generate revenue from product sales, we may not become profitable. If we fail to become profitable or are unable to sustain profitability on a continuing basis, then we may be required to raise additional capital, potentially on terms that are unfavorable to us, or we may be unable to continue our operations at planned levels and be forced to reduce or terminate operations.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Cash Flows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cash, cash equivalents, and restricted cash totaled $112.4 million and $84.8 million as of June 30, 2026 and June 30, 2025,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sources and uses of cash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tbl>
      <w:tblPr>
        <w:tblW w:w="8082" w:type="dxa"/>
        <w:jc w:val="left"/>
        <w:tblInd w:w="0" w:type="dxa"/>
        <w:tblLayout w:type="fixed"/>
        <w:tblCellMar>
          <w:top w:w="28" w:type="dxa"/>
          <w:left w:w="28" w:type="dxa"/>
          <w:bottom w:w="28" w:type="dxa"/>
          <w:right w:w="28" w:type="dxa"/>
        </w:tblCellMar>
      </w:tblPr>
      <w:tblGrid>
        <w:gridCol w:w="1430"/>
        <w:gridCol w:w="1254"/>
        <w:gridCol w:w="1261"/>
        <w:gridCol w:w="233"/>
        <w:gridCol w:w="859"/>
        <w:gridCol w:w="129"/>
        <w:gridCol w:w="129"/>
        <w:gridCol w:w="129"/>
        <w:gridCol w:w="129"/>
        <w:gridCol w:w="233"/>
        <w:gridCol w:w="859"/>
        <w:gridCol w:w="129"/>
        <w:gridCol w:w="109"/>
        <w:gridCol w:w="109"/>
        <w:gridCol w:w="109"/>
        <w:gridCol w:w="196"/>
        <w:gridCol w:w="631"/>
        <w:gridCol w:w="154"/>
      </w:tblGrid>
      <w:tr>
        <w:trPr/>
        <w:tc>
          <w:tcPr>
            <w:tcW w:w="143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12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9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used in operating activities:</w:t>
            </w:r>
          </w:p>
        </w:tc>
        <w:tc>
          <w:tcPr>
            <w:tcW w:w="122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(51,093)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(44,085)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adjustments</w:t>
            </w:r>
          </w:p>
        </w:tc>
        <w:tc>
          <w:tcPr>
            <w:tcW w:w="10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28,939 </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8,678 </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20,261 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09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(25,379)</w:t>
            </w:r>
          </w:p>
        </w:tc>
        <w:tc>
          <w:tcPr>
            <w:tcW w:w="12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(39,323)</w:t>
            </w:r>
          </w:p>
        </w:tc>
        <w:tc>
          <w:tcPr>
            <w:tcW w:w="12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13,944 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10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15,987 </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(15,242)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cash, cash equivalents, and restricted cash</w:t>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(24,747)</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(23,662)</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(1,085)</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Cash Used in Operating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primary use of cash is to fund operating expenses, which consist primarily of research and development and general and administrative costs.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Cash used in operating activities during the six months ended June 30, 2026 was $25.4 million compared to $39.3 million during the six months ended June 30, 2025. The $13.9 million decrease in cash used in operating activities was driven by lower operating expenditures compared to the prior period as well as an increase of $20.3 million in non-cash adjustments, partially offset by a $7.0 million increase in net loss and $0.7 million in changes in operating assets and liabilities.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non-cash adjustments was primarily driven by the net change in fair value of warrants during the six months ended June 30, 2026 compared to during the six months ended June 30, 2025. Also contributing to the increase in non-cash adjustments was the change in fair value of the Imugene ordinary shares during the six months ended June 30, 2026 and the gain on equity method investment of the Elo note in six months ended June 30, 2025.</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Cash Used in Investing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 primarily relates to cash expenditures to acquire leasehold additions, equipment, software and intangible assets. Net cash used in investing activities during the six months ended June 30, 2026 was $0.1 million, compared to $0.3 million used in investing activities in the six months ended June 30, 2025. The decrease in cash used in investing activities was primarily the result of a $0.2 million decrease in intangible asset purchases during the six months ended June 30, 2026 compared to the six months ended June 30, 2025.</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Cash Provided by Financing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during the six months ended June 30, 2026 was $0.7 million, compared to $16.0 million during the six months ended June 30, 2025. The $15.3 million decrease in cash provided by financing activities during the six months ended June 30, 2026 was primarily due to $14.8 million in net proceeds from the issuance of common stock through the Company's ATM facility during the six months ended June 30, 2025, whereas there were no proceeds from the issuance of common stock through the Company's ATM facility during the six months ended June 30, 2026.</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Debt Obligations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stated interest rate under the 2024 Term Loan is equal to the greater of 1.50% below the Prime Rate or 4.5%. As of June 30, 2026, the outstanding principal balance on the 2024 Term Loan was $22.5 million, the stated interest rate was 5.25% and the effective interest rate was 5.43%.</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Under the terms of the 2024 Loan and Security Agreement, we granted Banc of California a security interest in a cash security account at Banc of California (the “Cash Security Account”). We are required to maintain an aggregate unencumbered balance in the Cash Security Account at least equal to the outstanding principal amount of the 2024 Term Loan then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Funding Requirements</w:t>
      </w:r>
    </w:p>
    <w:p>
      <w:pPr>
        <w:pStyle w:val="TextBody"/>
        <w:bidi w:val="0"/>
        <w:spacing w:lineRule="auto" w:line="288" w:before="0" w:after="240"/>
        <w:jc w:val="left"/>
        <w:rPr/>
      </w:pPr>
      <w:r>
        <w:rPr>
          <w:rFonts w:ascii="Times New Roman;serif" w:hAnsi="Times New Roman;serif"/>
          <w:b w:val="false"/>
          <w:color w:val="000000"/>
          <w:sz w:val="20"/>
        </w:rPr>
        <w:t xml:space="preserve">We will continue to have funding requirements in connection with the continuation of our research and development efforts, potential investigational new drug (“IND”) and/or clinical trial application (“CTA”) submissions, potential clinical trials, and expected growth in our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portfolios.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believe that, as of the date of this Quarterly Report on Form 10-Q, existing cash and cash equivalents, continued fiscal and operating discipline, and availability of our ATM facility will be sufficient to fund our operating expenses, including our PBGENE-HBV and PBGENE-DMD data milestones, and capital expenditure requirements through 2028. We have based these estimates on assumptions that may prove to be imprecise, and we could utilize our available capital resources sooner than we expect. Because of the numerous risks and uncertainties associated with research, development and commercialization of pharmaceutical products, it is difficult to estimate with certainty the amount of our working capital requirements. Our future funding requirements will depend on many factors, including: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ability to collaborate and partner with third parties to fund any or all of our programs;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progress, costs and results of our additional research and preclinical development programs including our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pipeline and our planned IND or CTA submissions and potential BLA submissions;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outcome, timing and cost of meeting regulatory requirements established by the FDA and other comparable foreign regulatory authorities;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ability to establish and maintain strategic collaborations, licensing or other agreements and the financial terms of such agreements;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scope, progress, results and costs of any product candidates that we may derive from ARCUS or any other product candidates we may develop alone or with collaborators;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extent to which we in-license or acquire rights to other products, product candidates or technologies;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costs and timing of preparing, filing and prosecuting patent applications, maintaining and protecting our intellectual property rights and defending against any intellectual property-related claims; and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costs and timing of future commercialization activities, including product manufacturing, marketing, sales and distribution, for any product candidates for which we or our collaborators obtain marketing approval. </w:t>
      </w:r>
    </w:p>
    <w:p>
      <w:pPr>
        <w:pStyle w:val="TextBody"/>
        <w:bidi w:val="0"/>
        <w:spacing w:lineRule="auto" w:line="288" w:before="0" w:after="240"/>
        <w:jc w:val="left"/>
        <w:rPr/>
      </w:pPr>
      <w:r>
        <w:rPr>
          <w:rFonts w:ascii="Times New Roman;serif" w:hAnsi="Times New Roman;serif"/>
          <w:b w:val="false"/>
          <w:color w:val="000000"/>
          <w:sz w:val="20"/>
        </w:rPr>
        <w:t>Until such time, if ever, that we can generate product revenue sufficient to achieve profitability, we expect to finance our cash needs through a combination of public or private equity or debt financings, collaboration agreements, other third</w:t>
        <w:noBreakHyphen/>
        <w:t>party funding, strategic alliances, licensing arrangements and marketing and/or distribution arrangements. See “</w:t>
      </w:r>
      <w:r>
        <w:rPr>
          <w:rFonts w:ascii="Times New Roman;serif" w:hAnsi="Times New Roman;serif"/>
          <w:b w:val="false"/>
          <w:i/>
          <w:color w:val="000000"/>
          <w:sz w:val="20"/>
        </w:rPr>
        <w:t>Risk Factors–– We will need substantial additional funding, and if we are unable to raise a sufficient amount of capital when needed on acceptable terms, or at all, we may be forced to delay, reduce or eliminate some or all of our research programs, product development activities and commercialization efforts.</w:t>
      </w:r>
      <w:r>
        <w:rPr>
          <w:color w:val="000000"/>
        </w:rPr>
        <w:t xml:space="preserve">” </w:t>
      </w:r>
      <w:r>
        <w:rPr>
          <w:rFonts w:ascii="Times New Roman;serif" w:hAnsi="Times New Roman;serif"/>
          <w:b w:val="false"/>
          <w:color w:val="000000"/>
          <w:sz w:val="20"/>
        </w:rPr>
        <w:t>in Part II. Item 1A. of this Quarterly Report on Form 10-Q for a further discussion of our ability to generate and obtain adequate amounts of funding in connection with our continuing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the extent that we raise additional capital through the sale of equity or convertible debt securities, our stockholders’ ownership interest will be diluted, and the terms of these securities may include liquidation or other preferences that adversely affect the rights of our shareholders.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other third-party funding, collaboration agreements, strategic alliances, licensing arrangements or marketing and distribution arrangements, we may have to relinquish valuable rights to our technologies, future revenue streams, product development and research programs or product candidates or grant licenses on terms that may not be favorable to us. If we are unable to raise additional funds through equity or debt financings when needed, we may be required to significantly delay, alter reduce or eliminate one or more of our research or product development programs and/or commercialization efforts, or to grant rights to develop and market products or product candidates that we would otherwise prefer to develop and market ourselves. We may also be otherwise unable to execute our business plan, growth strategy, or capitalize on business opportunities as desired.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Common Stock Offering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2025, we entered into an underwriting agreement relating to the offering, issuance and sale of an aggregate of 10,815,000 shares of our common stock and accompanying one-half warrants to purchase up to an aggregate of 5,407,500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shares of our common stock at a combined offering price of $6.14 per share. Additionally, in lieu of common stock to certain investors, pre-funded warrants to purchase up to 1,400,000 shares of common stock and accompanying one-half warrants to purchase up to 700,000 shares of common stock at a combined offering price of $6.139995. Each whole warrant has a five year term and an exercise price of $7.25 per share. The offering was made pursuant to a registration statement on Form S-3. Gross proceeds from the transaction were $75.0 million before deducting underwriting discounts and commissions and offering expenses of approximately $5.0 million. We intend to use the net proceeds of the offering to fund ongoing and planned research and development, and for working capital and other general corporate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to the contractual obligations and commitments as described elsewhere in this Quarterly Report on Form 10-Q with respect to leases, the 2024 Term Loan, and intellectual property licenses, we also enter into contracts in the normal course of business with CMOs, universities, and other third parties for preclinical research studies, testing, manufacturing services, and other services and products for operating purposes. There have been no material changes to our contractual obligations from those described in our Annual Report on Form 10-K for the fiscal year ended December 31,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do not have any material capital expenditure commitments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Critical Accounting Policies and Use of Estimates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critical accounting policies and estimates are described in “Item 7. Management’s Discussion and Analysis of Financial Condition and Results of Operations—Critical Accounting Policies and Use of Estimates” in our Annual Report on Form 10-K. We have reviewed those critical accounting policies and estimates for the six months ended June 30, 2026. There have been no significant changes in our critical accounting policies and estimates from those disclosed in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Smaller Reporting Company Status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under applicable regulations promulgated by the SEC. We will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As a smaller reporting company, we are able to take advantage of certain exemptions from disclosure requirements, including presenting only the two most recent fiscal years of audited financial statements and reduced disclosure obligations regarding executive compensation in our periodic reports and proxy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cannot predict whether investors will find our common stock less attractive if we rely on the exemptions available to smaller reporting companies. If investors find our common stock less attractive as a result, there may be a less active trading market for our common stock and our stock price may be reduced or more volatile. To the extent we take advantage of such reduced disclosure obligations, it may also make comparison of our financial statements with other public companies difficult or impossible.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jc w:val="left"/>
        <w:rPr/>
      </w:pPr>
      <w:r>
        <w:rPr>
          <w:rFonts w:ascii="Times New Roman;serif" w:hAnsi="Times New Roman;serif"/>
          <w:b w:val="false"/>
          <w:color w:val="000000"/>
          <w:sz w:val="20"/>
        </w:rPr>
        <w:t xml:space="preserve">We are exposed to market risks in the ordinary course of our business. These risks primarily include interest rate sensitivities. Our interest-earning assets consist of cash and cash equivalents, which are denominated in U.S. dollars. We had cash, cash equivalents and restricted cash of $112.4 million, or approximately 89% of our total assets, on June 30, 2026 and $137.2 million, or approximately 89% of our total assets, on December 31, 2025. Interest income earned was </w:t>
      </w:r>
      <w:r>
        <w:rPr>
          <w:rFonts w:ascii="Times New Roman;serif" w:hAnsi="Times New Roman;serif"/>
          <w:b w:val="false"/>
          <w:color w:val="000000"/>
          <w:sz w:val="18"/>
        </w:rPr>
        <w:t xml:space="preserve">1.9 million and $2.4 million </w:t>
      </w:r>
      <w:r>
        <w:rPr>
          <w:rFonts w:ascii="Times New Roman;serif" w:hAnsi="Times New Roman;serif"/>
          <w:b w:val="false"/>
          <w:color w:val="000000"/>
          <w:sz w:val="20"/>
        </w:rPr>
        <w:t>for the six months ended June 30, 2026 and June 30, 2025, respectively. Our interest income is sensitive to changes in the general level of interest rates, primarily U.S. interest rates, however, we do not anticipate fluctuations in interest rates to have a material impact on our condensed financial statements. A hypothetical 10% change in interest rates would not have a material impact on the value of our cash and cash equivalents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June 30, 2026.</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involved in claims and proceedings arising in the course of our business. The outcome of any such claims or proceedings, regardless of the merits, is inherently uncertain. We are not currently party to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Investing in our common stock involves a high degree of risk. Before investing in our common stock, you should consider carefully the risks described below, together with the other information included or incorporated by reference in this Quarterly Report on Form 10-Q. The occurrence of any of the following risks could materially adversely affect our business, financial condition, results of operations and future growth prospects. In these circumstances, the market price of our common stock could decline, and you may lose all or part of your investment.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Financial Condition, Limited Operating History and Need for Additional Capital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have incurred significant operating losses since our inception and expect to continue to incur losses for the foreseeable future. We have not been profitable and may not achieve or maintain profitability.</w:t>
      </w:r>
    </w:p>
    <w:p>
      <w:pPr>
        <w:pStyle w:val="TextBody"/>
        <w:bidi w:val="0"/>
        <w:spacing w:lineRule="auto" w:line="288" w:before="0" w:after="240"/>
        <w:jc w:val="left"/>
        <w:rPr/>
      </w:pPr>
      <w:r>
        <w:rPr>
          <w:rFonts w:ascii="Times New Roman;serif" w:hAnsi="Times New Roman;serif"/>
          <w:b w:val="false"/>
          <w:color w:val="000000"/>
          <w:sz w:val="20"/>
        </w:rPr>
        <w:t xml:space="preserve">We do not expect to be profitable in the foreseeable future. Since inception, we have incurred significant operating losses. If our product candidates are not successfully developed and approved, we may never generate any revenue from product sales. Our net loss was </w:t>
      </w:r>
      <w:r>
        <w:rPr>
          <w:rFonts w:ascii="Times New Roman;serif" w:hAnsi="Times New Roman;serif"/>
          <w:b w:val="false"/>
          <w:color w:val="000000"/>
          <w:sz w:val="18"/>
        </w:rPr>
        <w:t>$51.1 million</w:t>
      </w:r>
      <w:r>
        <w:rPr>
          <w:color w:val="000000"/>
        </w:rPr>
        <w:t xml:space="preserve"> </w:t>
      </w:r>
      <w:r>
        <w:rPr>
          <w:rFonts w:ascii="Times New Roman;serif" w:hAnsi="Times New Roman;serif"/>
          <w:b w:val="false"/>
          <w:color w:val="000000"/>
          <w:sz w:val="20"/>
        </w:rPr>
        <w:t>for the six months ended June 30, 2026. As of June 30, 2026, we had an accumulated deficit of $579.3 million. In addition, we have not commercialized any products and have never generated any revenue from product sales. Substantially all of our losses have resulted from expenses incurred in connection with our research and development activities, including our preclinical development activities, and from general and administrative costs associated with our operations. We have financed our operations primarily through proceeds from upfront and milestone payments from collaboration and licensing agreements, our IPO, private placements of our common stock, convertible preferred stock and convertible debt financings, underwritten and ATM offerings of common stock and warrants, and borrowings on credit facilities. The amount of our future net losses will depend, in part, on the amount and growth rate of our expenses and our ability to generate revenues.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All of our current or future product candidates will require substantial additional development time and resources before we may realize revenue from product sales, if at all. We expect to continue to incur significant expenses and operating losses for the foreseeable future. We anticipate our expenses will increase if and as we: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continue our current research and development programs, including conducting laboratory and preclinical studies for product candidates;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initiate potential clinical trials for product candidates;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seek to identify, assess, acquire or develop additional research programs or product candidates;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maintain, expand and protect our intellectual property portfolio;</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seek marketing approvals for any product candidates that may successfully complete development;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establish a sales, marketing and distribution infrastructure to commercialize any products that may obtain marketing approval;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 or add additional manufacturers or suppliers of biological materials or product candidates;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further develop our genome editing technology;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acquire or in-license other technologies;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seek to attract new and retain existing personnel;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expand our facilities;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incur increased costs as a result of operating as a public company.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It will be several years, if ever, before we obtain regulatory approval for, and are ready for commercialization of, a therapeutic product candidate. Even if a therapeutic product candidate receives regulatory approval, future revenues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such product candidate will depend upon many factors, such as, as applicable, the size of any markets in which such product candidate is approved for sale, the market share captured by such product candidate, including as a result of the market acceptance of such product candidate and the effectiveness of manufacturing, sales, marketing and distribution operations related to such product candidate, the terms of any collaboration, license, or other strategic arrangement we may have with respect to such product candidate and levels of reimbursement from third-party payors. If we are unable to develop and commercialize one or more product candidates either alone or with collaborators, or if revenues from any product candidate that receives marketing approval or is commercialized are insufficient, we may not achieve profitability. Even if we do achieve profitability, we may not be able to sustain or increase profitability. If we are unable to achieve and maintain profitability, the value of our common stock will be materially adversely affected.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will need substantial additional funding, and if we are unable to raise a sufficient amount of capital when needed on acceptable terms, or at all, we may be forced to delay, reduce or eliminate some or all of our research programs, product development activities and commercialization efforts.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process of identifying product candidates and conducting preclinical studies and potential clinical trials is time-consuming, expensive, uncertain and takes years to complete. We expect our expenses to increase in connection with our ongoing activities, particularly as we identify, continue the research and development of, initiate potential clinical trials of, and seek marketing approval for, product candidates. In addition, if any therapeutic product candidate that we develop alone or with collaborators obtains marketing approval, we may incur significant commercialization expenses related to product manufacturing, sales, marketing and distribution efforts. Furthermore, we have incurred, and expect to continue to incur, additional costs associated with operating as a public company. Accordingly, we will need to obtain substantial additional funding in connection with our continuing operations. If we are unable to obtain sufficient funding on a timely basis or on favorable terms, we may be required to significantly delay, alter, reduce, or eliminate one or more of our research or product development programs and/or commercialization efforts, or to grant rights to develop and market products or product candidates that we would otherwise prefer to develop and market ourselves. We may also be otherwise unable to execute our business plan or growth strategy or capitalize on business opportunities as desired. Any of these events could materially adversely affect our financial condition and business prospects.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believe that, as of the date of this Quarterly Report on Form 10-Q, existing cash and cash equivalents, continued fiscal and operating discipline, and availability of our ATM facility will be sufficient to fund our operating expenses and capital expenditure requirements through 2028. We expect our cash runway to be sufficient to fund PBGENE-HBV and PBGENE-DMD data milestones through 2028. We have based this estimate on assumptions that may prove to be wrong, and we could use our capital resources sooner than we currently expect. Our operating plans and other demands on our cash resources may change as a result of many factors, including the outcomes of preclinical studies and clinical trials, our ability to obtain regulatory approval, investor interest in and the likelihood of commercial success of particular product candidates and programs, and other factors unknown to us, and we may need to seek additional funds sooner than planned, through public or private equity or debt financings or other sources, such as strategic collaborations and licensing arrangements, or abandon one or more product candidates or programs in the event that sufficient funding is not available.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Attempting to secure additional financing may divert our management from our day-to-day activities, which may adversely affect our ability to develop product candidates. Our future capital requirements will depend on many factors, including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timing, scope, progress, costs, results and analysis of results of research activities, preclinical studies and potential clinical trials for any of our product candidates;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costs of future activities, including product manufacturing, sales, marketing and distribution activities for any product candidates that receive regulatory approval;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success of our existing or future collaborative and other out-licensing relationships;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extent to which we exercise any development or commercialization rights under collaborative relationships;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ability to establish and maintain additional collaborative or other out-licensing relationships on favorable terms, or at all;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extent to which we expand our operations and the timing of such expansion, including with respect to facilities, employees and product development platforms;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costs of preparing, filing and prosecuting patent applications, maintaining and enforcing our intellectual property and proprietary rights and defending intellectual property-related claims;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extent to which we acquire or in-license other technologies or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extent to which we acquire or invest in other businesses;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costs of continuing to operate as a public company; and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amount of revenues, if any, received from commercial sales of any products that we develop alone or with collaborators that receive regulatory approval.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Even if we believe we have sufficient funds for our current or future operating plans, we may continue to seek additional capital if market conditions are favorable or in light of specific strategic considerations. Adequate additional financing may not be available to us on acceptable terms, or at all.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Provisions of our debt instruments may restrict our ability to pursue our business strategies, and our ability to access credit on favorable terms, if necessary, for the funding of our operations, trials and programs may be limited due to changes in credit markets.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July 2024, we entered into an amended and restated loan and security agreement (the “2024 Loan and Security Agreement”) with Banc of California pursuant to which Banc of California provided us with a term loan with a principal amount of $22.5 million (the “2024 Term Loan”). Pursuant to the terms of the 2024 Loan and Security Agreement, we granted Banc of California a security interest in a cash security account at Banc of California (the “Cash Security Account”).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2024 Loan and Security Agreement requires us to comply with various covenants that limit our ability to, among other things: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 our name, location, executive office or executive management, business, fiscal year, or control;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complete mergers with or into other entities;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incur indebtedness;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maintain less than $22.5 million of unencumbered cash in the Cash Security Account.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the agreements and instruments governing future indebtedness that we may enter into may include such restrictions or additional restrictions and financial covenants. Restrictions in our current and future indebtedness could inhibit our ability to pursue our business strategies.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Additionally, the credit markets and the financial services industry have been experiencing disruption characterized by the bankruptcy, failure, collapse or sale of various financial institutions, increased volatility in securities prices, diminished liquidity and credit availability and intervention from the U.S. and other governments. As a result, the cost and availability of credit has been and may continue to be adversely affected. We cannot be certain that funding will be available when and as needed, and if available, on acceptable terms if at all. If we are unable to obtain funding when needed and on acceptable terms, our financial condition and business prospects could be adversely impacted.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Raising additional capital may cause dilution to our stockholders, restrict our operations, or require us to relinquish rights to our technologies or product candidates.</w:t>
      </w:r>
    </w:p>
    <w:p>
      <w:pPr>
        <w:pStyle w:val="TextBody"/>
        <w:bidi w:val="0"/>
        <w:spacing w:lineRule="auto" w:line="288" w:before="0" w:after="240"/>
        <w:jc w:val="left"/>
        <w:rPr/>
      </w:pPr>
      <w:r>
        <w:rPr>
          <w:rFonts w:ascii="Times New Roman;serif" w:hAnsi="Times New Roman;serif"/>
          <w:b w:val="false"/>
          <w:color w:val="000000"/>
          <w:sz w:val="20"/>
        </w:rPr>
        <w:t xml:space="preserve">Until such time, if ever, as we can generate substantial product revenues, we expect to finance our cash needs through a combination of equity and/or debt financings and collaborations, licensing agreements or other strategic arrangements. To the extent that we raise additional capital through the sale of equity or convertible debt securities, including in underwritten and ATM offerings, stockholders’ ownership interest will be diluted, and the terms of such securities may include liquidation or other preferences that adversely affect common stockholders’ rights. For example, in 2025, 4.4 million shares were sold through the ATM facility. Additionally, in March 2024, we entered into an underwriting agreement relating to the offering, issuance and sale of an aggregate of 2,500,000 shares of our common stock and warrants to purchase up to an aggregate of 2,500,000 shares of our common stock at a combined offering price of $16.00 per share. On November 10, 2025, we also entered into an underwriting agreement relating to the issuance and sale of </w:t>
      </w:r>
      <w:r>
        <w:rPr>
          <w:rFonts w:ascii="Times New Roman;serif" w:hAnsi="Times New Roman;serif"/>
          <w:b w:val="false"/>
          <w:color w:val="000000"/>
          <w:sz w:val="20"/>
          <w:shd w:fill="FFFFFF" w:val="clear"/>
        </w:rPr>
        <w:t xml:space="preserve">10,815,000 shares of our common stock </w:t>
      </w:r>
      <w:r>
        <w:rPr>
          <w:rFonts w:ascii="Times New Roman;serif" w:hAnsi="Times New Roman;serif"/>
          <w:b w:val="false"/>
          <w:color w:val="000000"/>
          <w:sz w:val="20"/>
        </w:rPr>
        <w:t>and accompanying one-half warrants to purchase up to 5,407,500 shares of our common stock</w:t>
      </w:r>
      <w:r>
        <w:rPr>
          <w:color w:val="000000"/>
          <w:shd w:fill="FFFFFF" w:val="clear"/>
        </w:rPr>
        <w:t xml:space="preserve"> </w:t>
      </w:r>
      <w:r>
        <w:rPr>
          <w:rFonts w:ascii="Times New Roman;serif" w:hAnsi="Times New Roman;serif"/>
          <w:b w:val="false"/>
          <w:color w:val="000000"/>
          <w:sz w:val="20"/>
          <w:shd w:fill="FFFFFF" w:val="clear"/>
        </w:rPr>
        <w:t xml:space="preserve">at a combined price of $6.14 per share. Further, in lieu of common stock to certain investors, we issued pre-funded warrants to purchase up to </w:t>
      </w:r>
      <w:r>
        <w:rPr>
          <w:rFonts w:ascii="Times New Roman;serif" w:hAnsi="Times New Roman;serif"/>
          <w:b w:val="false"/>
          <w:color w:val="000000"/>
          <w:sz w:val="20"/>
        </w:rPr>
        <w:t xml:space="preserve">1,400,000 </w:t>
      </w:r>
      <w:r>
        <w:rPr>
          <w:rFonts w:ascii="Times New Roman;serif" w:hAnsi="Times New Roman;serif"/>
          <w:b w:val="false"/>
          <w:color w:val="000000"/>
          <w:sz w:val="20"/>
          <w:shd w:fill="FFFFFF" w:val="clear"/>
        </w:rPr>
        <w:t>shares of our common stock and accompanying one-half warrants to purchase up to 700,000 shares of our common stock at a combined price of $6.139995 per share</w:t>
      </w:r>
      <w:r>
        <w:rPr>
          <w:rFonts w:ascii="Times New Roman;serif" w:hAnsi="Times New Roman;serif"/>
          <w:b w:val="false"/>
          <w:color w:val="000000"/>
          <w:sz w:val="20"/>
        </w:rPr>
        <w:t xml:space="preserve">. Both of which resulted in dilution to our existing stockholders. Moreover, there is a provision in each warrant under which we may be required to purchase the warrants from the holders by paying cash in an amount equal to the Black-Scholes value of the remaining unexercised portion of the warrants in certain specified situations involving a “fundamental transaction” (as defined in the warrants),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which generally includes a merger with another person or entity, the sale, transfer or other disposition of all or substantially all of our assets, another person or entity becoming the beneficial owner of 50% of the outstanding shares of our common stock, any reclassification, reorganization or recapitalization of our common stock, any compulsory share exchange pursuant to which our common stock is effectively converted into or exchanged for other securities, cash or property, any plan or proposal for our voluntary or involuntary dissolution, liquidation or the winding up of our affairs, or if other conditions are met. It may be uncertain whether a particular transaction or series of transactions will trigger the cash-settlement provision or if the provision is triggered, what the actual payment due to a warrant holder would be in such circumstance, but any such payment could be material to us and could materially and adversely affect our financial condition. Furthermore, we may find it more difficult to raise additional equity capital needed for our business or to pursue strategic alternatives or other corporate transactions while the warrants are outstanding.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the extent that we raise additional capital through debt financing, it would result in increased fixed payment obligations and a portion of our operating cash flows, if any, being dedicated to the payment of principal and interest on such indebtedness. In addition, debt financing may involve agreements that include restrictive covenants that impose operating restrictions, such as restrictions on the incurrence of additional debt, the making of certain capital expenditures or the declaration of dividends. To the extent we raise additional capital through arrangements with collaborators or otherwise, we may be required to relinquish some of our technologies, research programs, product development activities, product candidates and/or future revenue streams, license our technologies and/or product candidates on unfavorable terms or otherwise agree to terms unfavorable to us. Furthermore, any capital raising efforts may divert our management from their day-to-day activities, which may adversely affect our ability to advance research programs, product development activities or product candidates.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have a limited operating history, which makes it difficult to evaluate our current business and future prospects and may increase the risk of your investment.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a genome editing company with a limited operating history. We formed our company in 2006 and spent the first nine years of our company’s history developing and refining our core technology, and only during the past several years have we focused our efforts on advancing the development of product candidates.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Investment in biopharmaceutical product development is a highly speculative endeavor. It entails substantial upfront capital expenditures, and there is significant risk that any product candidate will fail to demonstrate adequate efficacy or an acceptable safety profile, obtain any required regulatory approvals or become commercially viable. Our genome editing platform and the technologies we are using are new and unproven. We have not yet demonstrated an ability to successfully complete any clinical trials, obtain any required marketing approvals, manufacture products, conduct sales, marketing and distribution activities, or arrange for a third party to do any of the foregoing on our behalf. Consequently, any predictions made about our future success or viability may not be as accurate as they could be if we had a history of successfully developing and commercializing products.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Additionally, we encounter risks and difficulties frequently experienced by new and growing companies in rapidly developing and changing industries, particularly the nascent and swiftly evolving gene editing field, including challenges in forecasting accuracy, determining appropriate investments of our limited resources, gaining market acceptance of our technology, managing a complex regulatory landscape and developing new product candidates, which may make it more difficult to evaluate our likelihood of success. Our current operating model may require changes in order for us to adjust to these challenges or scale our operations efficiently. Our limited operating history, particularly in light of the rapidly evolving nature of the biopharmaceutical industry and the genome editing field, may make it difficult to evaluate our technology and business prospects or to predict our future performance. Additionally, due to the stage of our operations, we expect that our financial condition and operating results may fluctuate significantly from quarter to quarter as a result of many factors as we build our business, and you should not rely upon the results of any particular quarterly or annual period as indications of future operating performance.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expend our limited resources on pursuing particular research programs or product candidates that may be less successful or profitable than other programs or product candidates.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Research programs to identify new product candidates and product development platforms require substantial technical, financial and human resources. We are continually evaluating our business strategy and may modify this strategy in light of developments in our business and other factors. We may focus our efforts and resources on potential programs, product candidates or product development platforms that ultimately prove to be unsuccessful. Any time, effort and financial resources we expend on identifying and researching new product candidates and product development platforms may divert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attention from, and adversely affect our ability to continue, development and commercialization of existing research programs, product candidates and product development platforms. Clinical trials of any of our product candidates may never commence despite the expenditure of significant resources in pursuit of their development, and our spending on current and future research and development programs, product candidates and product development platforms may not yield any commercially viable products. As a result of having limited financial and managerial resources, we may forego or delay pursuit of opportunities that later prove to have greater commercial potential. For example, as part of a strategic prioritization exercise in 2023, we announced that while we will continue to pursue gene knock-out opportunistically, the proof-of-concept data continues to lead toward prioritizing programs involving complex edits and gene insertion. There is no guarantee that this ongoing prioritization review will ultimately lead to any viable commercial products, profitable market opportunities or other value-enhancing activities. Our resource allocation decisions may cause us to fail to timely capitalize on viable commercial products or profitable market opportunities. Additionally, if we do not accurately evaluate the commercial potential or target market for a particular product candidate, we may relinquish valuable rights to that product candidate through collaboration, licensing or other strategic arrangements in cases in which it would have been more advantageous for us to retain sole development and commercialization rights to such product candidate.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the Identification, Development and Commercialization of Our Product Candidates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ARCUS is a novel technology, making it difficult to predict the time, cost and potential success of product candidate development. We have not yet been able to assess the safety and efficacy of most of our product candidates in humans.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success depends on our ability to develop and commercialize product candidates using our novel genome editing technology. The novel nature of our technology makes it difficult to accurately predict the developmental challenges we may face for product candidates as they proceed through research, preclinical studies and clinical trials. There have been a limited number of clinical trials of products created with genome editing technologies, four of which have utilized our technology. Because our therapeutic research programs are all in preclinical or early clinical stages, we have only been able to assess limited safety and efficacy data of our product candidates in human trials. Current or future product candidates may not meet safety and efficacy requirements for continued development or ultimate approval in humans and may cause significant adverse events or toxicities. All of our product candidates are designed to act at the level of DNA, and because animal DNA differs from human DNA, it will be difficult for us to test our therapeutic product candidates in animal models for either safety or efficacy, and any testing that we conduct may not translate to their effects in humans. Moreover, animal models may not exist for some of the targets, diseases or indications that we intend to pursue. Our product candidates may not be able to properly implement desired genetic edits with sufficient accuracy to be viable therapeutic products, and there may be long-term effects associated with them that we cannot predict at this time. Any problems we experience related to the development of our genome editing technology or any of our or our collaborators’ research programs or product candidates may cause significant delays or unanticipated costs, and we may not be able to satisfactorily solve such problems. These factors may prevent us or our collaborators from completing our preclinical studies or any clinical trials that we or our collaborators have ongoing or may initiate, or profitably commercializing any product candidates on a timely basis, or at all. We may also experience delays in developing a sustainable, reproducible and scalable manufacturing process as we develop and prepare to commercialize product candidates. These factors make it more difficult for us to predict the time, cost and potential success of product candidate development. If our product development activities take longer or cost more than anticipated, or if they ultimately are not successful, it would materially adversely affect our business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genome editing field is relatively new and evolving rapidly, and other existing or future technologies may provide significant advantages over our ARCUS platform, which could materially harm our business.</w:t>
      </w:r>
    </w:p>
    <w:p>
      <w:pPr>
        <w:pStyle w:val="TextBody"/>
        <w:bidi w:val="0"/>
        <w:spacing w:lineRule="auto" w:line="288" w:before="0" w:after="240"/>
        <w:jc w:val="left"/>
        <w:rPr/>
      </w:pPr>
      <w:r>
        <w:rPr>
          <w:rFonts w:ascii="Times New Roman;serif" w:hAnsi="Times New Roman;serif"/>
          <w:b w:val="false"/>
          <w:color w:val="000000"/>
          <w:sz w:val="20"/>
        </w:rPr>
        <w:t xml:space="preserve">To date, we have focused our efforts on optimizing our proprietary genome editing technology and exploring its potential applications. ARCUS is a novel genome editing technology using sequence-specific DNA-cutting enzymes, or nucleases, that is designed to perform modifications in the DNA of living cells and organisms. Other companies have previously undertaken research and development of genome editing technologies using zinc finger nucleases, transcription activator-like effector nucleases (“TALENs”) and clustered regularly interspaced short palindromic repeats associated protein-9 nuclease (“CRISPR/Cas9”), although none has obtained marketing approval for an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gene editing product candidate developed using such technologies. Other genome editing technologies in development or commercially available, or other existing or future technologies, may lead to treatments or products that may be considered better suited for use in human therapeutics, which could reduce or eliminate our commercial opportunity.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are heavily dependent on the successful development and translation of ARCUS, and due to the early stages of our product development operations, we cannot give any assurance that any product candidates will be successfully developed and commercialized.</w:t>
      </w:r>
    </w:p>
    <w:p>
      <w:pPr>
        <w:pStyle w:val="TextBody"/>
        <w:bidi w:val="0"/>
        <w:spacing w:lineRule="auto" w:line="288" w:before="0" w:after="240"/>
        <w:jc w:val="left"/>
        <w:rPr/>
      </w:pPr>
      <w:r>
        <w:rPr>
          <w:rFonts w:ascii="Times New Roman;serif" w:hAnsi="Times New Roman;serif"/>
          <w:b w:val="false"/>
          <w:color w:val="000000"/>
          <w:sz w:val="20"/>
        </w:rPr>
        <w:t xml:space="preserve">We are at an early stage of development of the product candidates currently in our programs and are continuing to develop our ARCUS technology. To date, we have invested substantially all of our efforts and financial resources to develop ARCUS and advance our current product development programs, including conducting preclinical studies, early stage clinical trials and other early research and development activities, and providing general and administrative support for these operations. Due to the strategic transaction with Imugene for our azer-cel for cancer, as well as our CAR T infrastructure and cell therapy teams, and the TG License Agreement, we are now solely focused on leveraging our ARCUS genome editing platform to advance a new potential class of gene editing programs that go beyond gene knockouts in the liver and carry out sophisticated edits such as gene insertions, gene excision, and gene elimination in human therapeutics. We are also currently using our ARCUS technology to develop our lead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gene editing programs targeting HBV and DMD, among other indications. Our future success is dependent on our ability to successfully develop and, where applicable, obtain regulatory approval for, including marketing approval for, and then successfully commercialize, product candidates, either alone or with collaborators. We have not yet developed and commercialized any product candidates, and we may not be able to do so, alone or with collaborators.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research and development programs may not lead to the successful identification, development or commercialization of any products.</w:t>
      </w:r>
    </w:p>
    <w:p>
      <w:pPr>
        <w:pStyle w:val="TextBody"/>
        <w:bidi w:val="0"/>
        <w:spacing w:lineRule="auto" w:line="288" w:before="0" w:after="240"/>
        <w:jc w:val="left"/>
        <w:rPr/>
      </w:pPr>
      <w:r>
        <w:rPr>
          <w:rFonts w:ascii="Times New Roman;serif" w:hAnsi="Times New Roman;serif"/>
          <w:b w:val="false"/>
          <w:color w:val="000000"/>
          <w:sz w:val="20"/>
        </w:rPr>
        <w:t xml:space="preserve">The success of our business depends primarily upon our ability to identify, develop and commercialize products using our genome editing technology. Our named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development programs, PBGENE-HBV and PBGENE-DMD, are early stage clinical programs. We may be unsuccessful in advancing these programs into later stage clinical development or in identifying and developing additional product candidates. Our ability to identify and develop product candidates is subject to the numerous risks associated with preclinical and early stage biotechnology development activities, including that: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use of ARCUS may be ineffective in identifying additional product candidates;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we may not be able to assemble sufficient resources to acquire or discover additional product candidates;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we may not be able to enter into collaborative arrangements to facilitate development of product candidates, the terms of our collaborative arrangements may change, or our collaborative arrangements may be terminated;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competitors may develop alternatives that render our product candidates obsolete or less attractive;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product candidates may be covered by third parties’ patents or other exclusive rights;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regulatory pathway for a product candidate may be too complex, expensive or otherwise difficult to navigate successfully; or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product candidates may be shown to not be effective, have harmful side effects or otherwise pose risks not outweighed by such product candidate’s benefits or have other characteristics that may make the products impractical to manufacture, unlikely to receive any required marketing approval, unlikely to generate sufficient market demand or otherwise not achieve profitable commercialization.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current development programs and future product candidates may never be approved. Failure to successfully identify and develop new product candidates and obtain regulatory approvals for our products would have a material adverse effect on our business and financial condition and could cause us to cease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our product candidates do not achieve projected development milestones or commercialization in the announced or expected timeframes, the further development or commercialization of such product candidates may be delayed, and our business will be harmed.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sometimes estimate, or may in the future estimate, the timing of the accomplishment of various scientific, clinical, manufacturing, regulatory and other product development objectives. These milestones may include our expectations regarding the commencement or completion of scientific studies or clinical trials, the submission of regulatory filings, the receipt of marketing approval or the realization of other commercialization objectives. The achievement of many of these milestones may be outside of our control. All of these milestones are based on a variety of assumptions, including assumptions regarding capital resources, constraints and priorities, progress of and results from development activities, participation of third parties including outside collaborators or vendors, the receipt of key regulatory approvals or actions, and other factors, any of which may cause the timing of achievement of the milestones to vary considerably from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estimates. If we or our collaborators fail to achieve announced milestones in the expected timeframes, the commercialization of the product candidates may be delayed, our credibility may be undermined, our business and results of operations may be harmed, and the trading price of our common stock may decline.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Adverse public perception of genome editing may negatively impact the developmental progress or commercial success of products that we develop alone or with collaborators.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developmental and commercial success of our current development programs or future product candidates, or any that we develop alone or with collaborators in the future, will depend in part on public acceptance of the use of genome editing technology for the prevention or treatment of human diseases. Adverse public perception of applying genome editing technology for these purposes may negatively impact our ability to raise capital or enter into strategic agreements for the development of product candidates.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Any therapeutic product candidates may involve editing the human genome. The commercial success of any such potential therapeutic products, if successfully developed and approved, may be adversely affected by claims that genome editing is unsafe, unethical or immoral. This may lead to unfavorable public perception and the inability of any therapeutic product candidates to gain the acceptance of the public or the medical community. Unfavorable public perceptions may also adversely impact our or our collaborators’ ability to enroll clinical trials for therapeutic product candidates. Moreover, success in commercializing any therapeutic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 Publicity of any adverse events in, or unfavorable results of, preclinical studies or clinical trials for any current or future product candidates, including, without limitation, patient deaths, or with respect to the studies or trials of our competitors or of academic researchers utilizing genome editing technologies, even if not ultimately attributable to our technology or product candidates, could negatively influence public opinion. Negative public perception about the use of genome editing technology in human therapeutics, whether related to our technology or a competitor’s technology, could result in increased governmental regulation, delays in the development and commercialization of product candidates or decreased demand for the resulting products, any of which may have a negative impact on our business and financial condition.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face significant competition in industries experiencing rapid technological change, and there is a possibility that our competitors may achieve regulatory approval before us or develop product candidates or treatments that are safer or more effective than ours, which may harm our financial condition and our ability to successfully market or commercialize any of our product candidates.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development and commercialization of new drug products is highly competitive, and the genome editing field is characterized by rapidly changing technologies, significant competition and a strong emphasis on intellectual property. We will face competition with respect to our current and future therapeutic product candidates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products.</w:t>
      </w:r>
    </w:p>
    <w:p>
      <w:pPr>
        <w:pStyle w:val="TextBody"/>
        <w:bidi w:val="0"/>
        <w:spacing w:lineRule="auto" w:line="288" w:before="0" w:after="240"/>
        <w:jc w:val="left"/>
        <w:rPr/>
      </w:pPr>
      <w:r>
        <w:rPr>
          <w:rFonts w:ascii="Times New Roman;serif" w:hAnsi="Times New Roman;serif"/>
          <w:b w:val="false"/>
          <w:color w:val="000000"/>
          <w:sz w:val="20"/>
        </w:rPr>
        <w:t xml:space="preserve">There are a number of large pharmaceutical and biotechnology companies that currently market and sell products or are pursuing the development of products for the treatment of the disease indications for which we have research programs. Some of these competitive products and therapies are based on scientific approaches that are similar to our approach, and others are based on entirely different approaches. We principally compete with others developing and utilizing genome editing technology in the human health sector. We expect that our operations focused on developing products for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gene editing will face substantial competition from others focusing on gene therapy treatments, especially those that may focus on conditions that our product candidates target. Moreover, any human therapeutics products that we develop alone or with collaborators will compete with existing standards of care for the diseases and conditions that our product candidates target and other types of treatments, such as small molecule, antibody or protein therapies.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current or potential competitors, either alone or with their collaborators,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develop alone or with collaborators or that would render any such products obsolete or non-competitive. Our competitors also may obtain FDA or other regulatory approval for their products more rapidly than we or our collaborators may obtain approval for any that we develop, which could result in our competitors establishing a strong market position before we are able to enter the market. Additionally, technologies developed by our competitors may render our product candidates uneconomical or obsolete, and we or our collaborators may not be successful in marketing any product candidates we may develop against competitors. The availability of our competitors’ products could limit the demand, and the price we are able to charge, for any products that we develop alone or with collaborators.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future profitability, if any, will depend in part on our ability and the ability of our collaborators or other licensees to commercialize any products that we, our collaborators, or our other licensees may develop in markets throughout the world. Commercialization of products in various markets could subject us to risks and uncertainties, including: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obtaining, on a country-by-country basis, the applicable marketing authorization from the competent regulatory authority;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burden of complying with complex and changing regulatory, tax, accounting, labor and other legal requirements in each jurisdiction that we or our collaborators pursue;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reduced protection for intellectual property rights;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differing medical practices and customs affecting acceptance in the marketplace;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import or export licensing requirements;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governmental controls, trade restrictions or changes in tariffs;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economic weakness, including inflation, political instability in particular foreign economies and markets, or civil unrest or war, such as the current conflict between Russia and Ukraine;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production shortages resulting from any events affecting raw material supply or manufacturing capabilities abroad;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longer accounts receivable collection times;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longer lead times for shipping;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language barriers;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foreign currency exchange rate fluctuations;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foreign reimbursement, pricing and insurance regimes; and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interpretation of contractual provisions governed by foreign laws in the event of a contract dispute.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limited or no prior experience in these areas, and our collaborators may have limited experience in these areas. Failure to successfully navigate these risks and uncertainties may limit or prevent market penetration for any products that we or our collaborators may develop, which would limit their commercial potential and our revenues.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Product liability lawsuits against us could cause us to incur substantial liabilities and could limit commercialization of any products that we develop alone or with collaborators.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face an inherent risk of product liability and professional indemnity exposure related to the testing in clinical trials of our product candidates. We will face an even greater liability risk if we commercially sell any products that we 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collaborators may develop for human use. Manufacturing defects, errors in product distribution or storage processes, improper administration or application and known or unknown side effects of product usage may result in liability claims against us or third parties with which we have relationships. These actions could include claims resulting from acts by our collaborators, licensees and subcontractors over which we have little or no control.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example, our liability could be sought by patients participating in clinical trials for potential therapeutic product candidates as a result of unexpected side effects, improper product administration or the deterioration of a patient’s condition, patient injury or even death. Criminal or civil proceedings might be filed against us by patients, regulatory authorities, biopharmaceutical companies and any other third party using or marketing any product candidates or products that we develop alone or with collaborators. On occasion, large judgments have been awarded in class action lawsuits based on products that had unanticipated adverse effects. If we cannot successfully defend ourselves against claims that product candidates or products we develop alone or with collaborators caused harm, we could incur substantial liabilities.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Regardless of merit or eventual outcome, liability claims may result in: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significant time and costs to defend the related litigation;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injury to our reputation and significant negative media attention;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diversion of management’s attention from pursuing our strategy;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withdrawal of clinical trial participants;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delay or termination of clinical trials;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decreased demand for any products that we develop alone or with collaborators;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substantial monetary awards to trial participants or patients;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product recalls, withdrawals or labeling, marketing or promotional restrictions;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loss of revenue; and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inability to further develop or commercialize any products.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Although the clinical trial process is designed to identify and assess potential side effects, clinical development does not always fully characterize the safety and efficacy profile of a new medicine, and it is always possible that a drug or biologic,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 If any of our product candidates are approved for commercial sale, we will be highly dependent upon consumer perceptions of us and the safety and quality of such products. We could be adversely affected if we are subject to negative publicity associated with illness or other adverse effects resulting from patients’ use or misuse of such products or any similar products distributed by other companies.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Although we maintain product liability insurance coverage, it may not be adequate to cover all liabilities that we may incur. We anticipate that we will need to increase our insurance coverage if we or our collaborators successfully commercialize any products. Insurance coverage is increasingly expensive. We may not be able to maintain insurance coverage at a reasonable cost or in an amount adequate to satisfy any liabilities to which we may become subject.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Additional Risks Related to the Identification, Development and Commercialization of Our Therapeutic Product Candidates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regulatory landscape that will apply to development of therapeutic product candidates by us or our collaborators is rigorous, complex, uncertain and subject to change, which could result in delays or termination of development of such product candidates or unexpected costs in obtaining regulatory approvals.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Regulatory requirements governing products created with genome editing technology or involving gene therapy treatment have changed frequently and will likely continue to change in the future. Approvals by one regulatory agency may not be indicative of what any other regulatory agency may require for approval, and there has historically been substantial, and sometimes uncoordinated, overlap in those responsible for regulation of gene therapy products, cell therapy products and other products created with genome editing technology. For example, in the United States, the FDA has established the Office of Therapeutic Products within its Center for Biologics Evaluation and Research (“CBER”) to consolidate the review of gene therapy and related products, and the Cellular, Tissues, and Gene Therapies Advisory Committee to advise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CBER on its review. Our product candidates will need to meet safety, purity, and potency standards applicable to any new biologic under the regulatory framework administered by the FDA.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to the submission of an IND to the FDA, before initiation of a clinical trial in the United States, certain human clinical trials subject to the NIH Guidelines are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We are subject to significant regulatory oversight by the FDA, and in addition to the government regulators, the applicable IBC and IRB of each institution at which we or our collaborators conduct clinical trials of our product candidates, or a central IRB if appropriate, would need to review and approve the proposed clinical trial.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Similar requirements apply in the EU. The European Medicine Agency (“EMA”) has a Committee for Advanced Therapies (“CAT”) that is responsible for assessing the quality, safety and efficacy of advanced therapy medicinal products (“ATMPs”). ATMPs include gene therapy medicine, somatic-cell therapy medicines and tissue-engineered medicines. The role of the CAT is to prepare a draft opinion on an application for marketing authorization for a gene therapy medicinal product candidate that is submitted to the EMA. In the EU, the development and evaluation of a gene therapy medicinal product must be considered in the context of the relevant EU guidelines. The EMA may issue new guidelines concerning the development and marketing authorization for gene therapy medicinal products and require that we comply with these new guidelines. Similarly complex regulatory environments exist in other jurisdictions in which we might consider seeking regulatory approvals for our product candidates, further complicating the regulatory landscape. As a result, the procedures and standards applied to gene therapy products and cell therapy products may be applied to any of our gene therapy or genome editing product candidates, but that remains uncertain at this point.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clinical trial requirements of the FDA, the EMA and other foreign regulatory authorities and the criteria these regulators use to evaluate the safety and efficacy of a product candidate vary substantially according to the type, complexity, novelty and intended use and market of the potential products. The regulatory approval process for product candidates created with novel genome editing technology such as ours can be more lengthy, rigorous and expensive than the process for other better known or more extensively studied product candidates and technologies. Since we are developing novel treatments for diseases in which there is little clinical experience with new endpoints and methodologies, there is heightened risk that the FDA, the EMA or comparable regulatory bodies may not consider the clinical trial endpoints to provide clinically meaningful results, and the resulting clinical data and results may be more difficult to analyze. This may be a particularly significant risk for many of the genetically defined diseases for which we may develop product candidates alone or with collaborators due to small patient populations for those diseases, and designing and executing a rigorous clinical trial with appropriate statistical power is more difficult than with diseases that have larger patient populations. Regulatory agencies administering existing or future regulations or legislation may not allow production and marketing of products utilizing genome editing technology in a timely manner or under technically or commercially feasible conditions. Even if our product candidates obtain required regulatory approvals, such approvals may later be withdrawn as a result of changes in regulations or the interpretation of regulations by applicable regulatory agencies.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Changes in applicable regulatory guidelines may lengthen the regulatory review process for our product candidates, require additional studies or trials, increase development costs, lead to changes in regulatory positions and interpretations, delay or prevent approval and commercialization of such product candidates, or lead to significant post-approval limitations or restrictions. Additionally, adverse developments in clinical trials conducted by others of gene therapy products or products created using genome editing technology, such as products developed through the application of a CRISPR/Cas9 technology, or adverse public perception of the field of genome editing, may cause the FDA, the EMA and other regulatory bodies to revise the requirements for approval of any product candidates we may develop or limit the use of products utilizing genome editing technologies, either of which could materially harm our business. Furthermore, regulatory action or private litigation could result in expenses, delays or other impediments to our research programs or the development or commercialization of current or future product candidates.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we advance product candidates alone or with collaborators, we will be required to consult with these regulatory and advisory groups and comply with all applicable guidelines, rules and regulations. If we fail to do so, we or our collaborators may be required to delay or terminate development of such product candidates. Delay or failure to obtain,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unexpected costs in obtaining, the regulatory approval necessary to bring a product candidate to market could decrease our ability to generate sufficient product revenue to maintain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not be able to submit INDs to the FDA or CTAs to comparable foreign authorities to commence clinical trials on the timelines we expect, and even if we are able to, the FDA or comparable foreign authorities may not permit us to proceed.</w:t>
      </w:r>
    </w:p>
    <w:p>
      <w:pPr>
        <w:pStyle w:val="TextBody"/>
        <w:bidi w:val="0"/>
        <w:spacing w:lineRule="auto" w:line="288" w:before="0" w:after="240"/>
        <w:jc w:val="left"/>
        <w:rPr/>
      </w:pPr>
      <w:r>
        <w:rPr>
          <w:rFonts w:ascii="Times New Roman;serif" w:hAnsi="Times New Roman;serif"/>
          <w:b w:val="false"/>
          <w:color w:val="000000"/>
          <w:sz w:val="20"/>
        </w:rPr>
        <w:t xml:space="preserve">We plan to submit INDs and CTAs to enable us to conduct clinical trials for product candidates in the future, and we expect to file IND amendments to enable us to conduct clinical trials under existing INDs. We cannot be sure that submission of an IND, CTA, or IND amendment will result in us being allowed to proceed with clinical trials, or that, once begun, issues will not arise that could result in the suspension or termination such clinical trials. The manufacturing of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therapies for genetic and infectious diseases remains an emerging and evolving field. Accordingly, we expect CMC related topics, including product specifications, will be a focus of IND and CTA reviews, which may delay receipt of authorization to proceed under INDs and CTAs. Additionally, even if such regulatory authorities agree with the design and implementation of the clinical trials set forth in an IND or CTA, we cannot guarantee that such regulatory authorities will not change their requirements in the future. Similar risks may exist in foreign jurisdictions where we intend to conduct clinical trials.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and any collaborators are not permitted to commercialize, market, promote or sell any product candidate in the United States without obtaining marketing approval from the FDA. Foreign regulatory authorities impose similar requirements. The time required to obtain approval by the FDA and comparable foreign authorities is unpredictable, but typically takes many years following the commencement of clinical trials and depends upon numerous factors, including substantial discretion of the regulatory authorities and sufficient resources at the FDA or foreign regulatory authorities. In addition, approval policies, regulations or the type and amount of clinical data necessary to gain approval may change during the course of a product candidate’s clinical development and may vary among jurisdictions. To date, we have not submitted a BLA or other marketing authorization application to the FDA or similar drug approval submissions to comparable foreign regulatory authorities for any product candidate. We and any collaborators must complete additional preclinical or nonclinical studies and clinical trials to demonstrate the safety and efficacy of our product candidates in humans to the satisfaction of the regulatory authorities before we will be able to obtain these approvals.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product candidates could fail to receive regulatory approval for many reasons, including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FDA or comparable foreign regulatory authorities may disagree with the design or implementation of our or our collaborators’ clinical trials;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we or our collaborators may be unable to demonstrate to the satisfaction of the FDA or comparable foreign regulatory authorities that a product candidate is safe and effective for its proposed indication;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results of clinical trials may not meet the level of statistical significance required by the FDA or comparable foreign regulatory authorities for approval;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we or our collaborators may be unable to demonstrate that a product candidate’s clinical and other benefits outweigh its safety risks;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FDA or comparable foreign regulatory authorities may disagree with our or our collaborators’ interpretation of data from preclinical studies or clinical trials;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data collected from clinical trials of product candidates may not be sufficient to support the submission of a BLA or other submission or to obtain regulatory approval in the United States or elsewhere;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FDA or comparable foreign regulatory authorities may fail to approve our manufacturing processes or facilities or those of third-party manufacturers with which we or our collaborators contract for clinical and commercial supplies;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FDA, comparable foreign regulatory authorities or notified bodies may fail to approve or certify the companion diagnostics we may contemplate developing with collaborators; and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approval policies or regulations of the FDA or comparable foreign regulatory authorities may significantly change in a manner rendering our or our collaborators’ clinical data insufficient for approval.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even if we were to obtain approval, regulatory authorities may approve any of our product candidates for fewer or more limited indications than we request, may impose significant limitations in the form of narrow indications, warnings, or a REMS or similar risk management measures. Regulatory authorities may not approve the price we or our collaborators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and, following the European Commission’s revision to the existing pharmaceutical legislation and the European Parliament and the Council of the EU adoption of their respective positions, a common position was agreed upon, however, the proposed revisions remain to be adopted. These revisions may have a significant impact on the biopharmaceutical industry in the long term.</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Clinical trials are difficult to design and implement, expensive, time-consuming and involve an uncertain outcome, and the inability to successfully and timely conduct clinical trials and obtain regulatory approval for our product candidates would substantially harm our business.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Clinical testing is expensive and usually takes many years to complete, and its outcome is inherently uncertain. Failure can occur at any time during the clinical trial process, and product candidates in later stages of clinical trials may fail to show the desired safety and efficacy traits despite having progressed through preclinical studies and initial clinical trials. We do not know whether any of our planned or future clinical trials will need to be redesigned, recruit and enroll patients on time or be completed on schedule, or at all. Clinical trials have been and may in the future be delayed, suspended or terminated for a variety of reasons, including in connection with:</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inability to generate sufficient preclinical, toxicology or other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 xml:space="preserve">data to support the initiation of clinical trials;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applicable regulatory authorities disagreeing as to the design or implementation of the clinical trials;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obtaining regulatory authorization to commence a trial;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reaching an agreement on acceptable terms with prospective CROs and clinical trial sites, the terms of which can be subject to extensive negotiation and may vary significantly among different CROs and trial sites;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obtaining IRB or ethics committee approval or positive opinion at each site;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developing and validating the companion diagnostic to be used in a clinical trial, if applicable;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insufficient or inadequate supply or quality of product candidates or other materials, including identification of lymphocyte donors meeting regulatory standards necessary for use in clinical trials, or delays in sufficiently developing, characterizing or controlling a manufacturing process suitable for clinical trials;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recruiting and retaining enough suitable patients to participate in a trial;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having enough patients complete a trial or return for post-treatment follow-up;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adding a sufficient number of clinical trial sites;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inspections of clinical trial sites or operations by applicable regulatory authorities, or the imposition of a clinical hold;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clinical sites deviating from trial protocol or dropping out of a trial;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inability to demonstrate the efficacy and benefits of a product candidate;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discovering that product candidates have unforeseen safety issues, undesirable side effects or other unexpected characteristics;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addressing patient safety concerns that arise during the course of a trial;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receiving untimely or unfavorable feedback from applicable regulatory authorities regarding the trial or requests from regulatory authorities to modify the design of a trial;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non-compliance with applicable regulatory requirements by us or third parties or changes in such regulations or administrative actions;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suspensions or terminations by IRBs of the institutions at which such trials are being conducted, by the Data Safety Monitoring Board for such trial or by the FDA or other foreign regulatory authorities due to a number of factors, including those described above;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third parties being unable or unwilling to satisfy their contractual obligations to us;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competitive pressures and other market conditions;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our financial priorities, greater than anticipated costs of completing a trial or our inability to continue funding the trial; or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unforeseen events, such as natural or man-made disasters, public health emergencies, such as natural catastrophic events.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Many of the factors that cause, or lead to, a delay in the commencement or completion of clinical trials may also ultimately lead to the denial of regulatory approval of our product candidates. Additionally, we or our collaborators may experience unforeseen events during or resulting from clinical trials that could delay or prevent receipt of marketing approval for or commercialization of product candidates. For example, clinical trials of product candidates may produce negative, inconsistent or inconclusive results, and we may decide, or regulators may require us, to conduct additional clinical trials or abandon development programs. Regulators may also revise the requirements for approving the product candidates, or such requirements may not be as we anticipate. If we or our collaborators are required to conduct additional clinical trials or other testing of product candidates beyond those that we or our collaborators currently contemplate, if we or our collaborators are unable to successfully complete clinical trials or other testing of such product candidates, if the results of these trials or tests are not positive or are only modestly positive or if there are safety concerns, we may: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incur unplanned costs;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be delayed in obtaining or fail to obtain marketing approval for product candidates;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obtain marketing approval in some countries and not in others;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obtain marketing approval for indications or patient populations that are not as broad as intended or desired;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obtain marketing approval with labeling that includes significant use or distribution restrictions or safety warnings, including boxed warnings;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be subject to additional post-marketing testing requirements;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be subject to changes in the way the product is administered;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have regulatory authorities withdraw or suspend their approval of the product or impose restrictions on its distribution;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be sued; or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experience damage to our reputation.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we or our collaborators experience delays in the commencement or completion of our clinical trials, or if we or our collaborators terminate a clinical trial prior to completion, we may experience increased costs, have difficulty raising capital and/or be required to slow down the development and approval process timelines. Furthermore, the product candidates that are the subject of such trials may never receive regulatory approval, and their commercial prospects and our ability to generate product revenues from them could be impaired or not realized at all.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EU Clinical Trials Directive required a separate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CROs, may impact our developments plans.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UK regulatory framework in relation to clinical trials is derived from the now-repealed EU Clinical Trials Directive (as implemented into UK law, through the Medicines for Human Use (Clinical Trials) Regulations 2004, as amended).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28, 2025, the UK adopted an amendment to the UK clinical trials regulations intended to support a more streamlined and flexible regulation of clinical trials and remove unnecessary administrative burdens on trial sponsors, while protecting the interests of trial participants. It also intends to bring the UK regulatory framework for clinical trials, which is still based on the now-repealed EU Clinical Trials Directive, into closer alignment with the CTR. The amendment became applicable on April 28, 2026 following a one-year transition period.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we are slow or unable to adapt to changes in existing requirements or the adoption of new requirements or policies governing clinical trials, our development plans may also be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Any product candidates that we or our collaborators may develop will be novel and may be complex and difficult to manufacture, and if we experience manufacturing problems, it could result in delays in development and commercialization of such product candidates or otherwise harm our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product candidates involve or will involve novel genome editing technology and will require processing steps that are more complex than those required for most small molecule drugs, resulting in a relatively higher manufacturing cost. Moreover, unlike small molecules, the physical and chemical properties of biologics generally cannot be fully characterized. As a result, assays of the finished product may not be sufficient to ensure that such product will perform in the intended manner. Although we intend to employ multiple steps to control the manufacturing process, we may experience manufacturing issues with any of our product candidates that could cause production interruptions, including contamination, equipment or reagent failure, improper installation or operation of equipment, facility contamination, raw material shortages or contamination, natural disasters, disruption in utility services, human error, disruptions in the operations of our suppliers, inconsistency in cell growth and variability in product characteristics. We may encounter problems achieving adequate quantities and quality of clinical-grade materials that meet FDA, EMA or other comparable applicable standards or specifications with consistent and acceptable production yields and costs. Even minor deviations from normal manufacturing processes could result in reduced production yields, product defects and other supply disruptions. If microbial, viral or other contaminations are discovered in our product candidates or in the manufacturing facilities in which such product candidates are made, such manufacturing facilities may need to be closed for an extended period of time to investigate and remedy the contamination. Problems with the manufacturing process, even minor deviations from the normal process, could result in product defects or manufacturing failures that result in lot failures, delays in initiating or completing clinical trials, product recalls, product liability claims or insufficient inventory.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product candidates are developed through preclinical to late-stage clinical trials towards approval and commercialization, we expect that various aspects of the development program, such as manufacturing methods, may be altered along the way in an effort to help optimize processes and results. Such changes carry the risk that they will not achieve the intended objectives, and any of these changes could cause our product candidates to perform differently and affect the results of future clinical trials or our reliance on results of trials that have previously been conducted using the product candidate in its previous form. If the manufacturing process is changed during the course of product development, we or our collaborators may be required to repeat some or all of the previously conducted trials or conduct additional bridging trials, which could increase our costs and delay or impede our ability to obtain marketing approval.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expect our manufacturing strategy for one or more of our product candidates may involve the use of CMOs. The facilities used by us and our contract manufacturers to manufacture therapeutic product candidates must be evaluated for the manufacture of our product candidates by the FDA or foreign regulatory authorities pursuant to inspections that will be conducted after we submit a BLA to the FDA, or similar foreign applications to foreign regulatory authorities. While we work closely with our CMOs on the manufacturing processes for our product candidates, including quality audits, we do not control the manufacturing process of our contract manufacturers and are dependent on their compliance with current good manufacturing practices (“cGMP”) or similar foreign requirements for their manufacture of our product candidates. We may establish multiple manufacturing facilities as we expand our commercial footprint to multiple geographies, which will be costly and time consuming and may lead to regulatory delays. Even if we are successful, our manufacturing capabilities could be affected by cost-overruns, potential problems with scale-out, process reproducibility, stability issues, lot inconsistency, timely availability of reagents or raw materials, unexpected delays, equipment failures, labor shortages, natural disasters, utility failures, regulatory issues and other factors that could prevent us from realizing the intended benefits of our manufacturing strategy and have a material adverse effect on our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FDA, the EMA and other foreign regulatory authorities may require us to submit samples of any lot of any product that may receive approval together with the protocols showing the results of applicable tests at any time. Under some circumstances, the FDA, the EMA or other foreign regulatory authorities may require that we not distribute a lot until the relevant agency authorizes its release.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Slight deviations in the manufacturing process, including those affecting quality attributes and stability, may result in unacceptable changes in the product that could result in lot failures or product recalls. Lot failures or product recalls could cause us or our collaborators to delay product launches or clinical trials, which could be costly to us and otherwise harm our business. Problems in our manufacturing process also could restrict our or our collaborators’ ability to meet market demand for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Any problems in our manufacturing process or facilities could make us a less attractive collaborator for potential partners, including larger pharmaceutical companies and academic research institutions, which could limit our access to additional attractive development opportunities.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Any delays or difficulties in our or our collaborators’ ability to enroll patients in clinical trials could delay or prevent receipt of regulatory approvals.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or our collaborators may not be able to initiate or continue clinical trials on a timely basis or at all for any product candidates we or our collaborators identify or develop if we or our collaborators are unable to locate and enroll a sufficient number of eligible patients to participate in the trials as required by applicable regulations or as needed to provide appropriate statistical power for a given trial. Additionally, some of our competitors may have ongoing clinical trials for product candidates that would treat the same indications as one or more of our product candidates, and patients who would otherwise be eligible for our clinical trials may instead enroll in our competitors’ clinical trials.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Patient enrollment may also be affected by many factors, including: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severity and difficulty of diagnosing of the disease under investigation;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difficulty in recruiting and/or identifying eligible patients suffering from rare diseases being evaluated under our trials;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size of the patient population and process for identifying subjects;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eligibility and exclusion criteria for the trial in question, including unforeseen requirements by the FDA or other regulatory authorities that we restrict one or more entry criteria for the study for safety reasons;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or our collaborators’ ability to recruit clinical trial investigators with the appropriate competencies and experience;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design of the trial protocol;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availability and efficacy of approved medications or therapies, or other clinical trials, for the disease or condition under investigation;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perceived risks and benefits of the product candidate under trial or testing, or of the application of genome editing to human indications;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availability of genetic testing for potential patients;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efforts to facilitate timely enrollment in clinical trials;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patient referral practices of physicians;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ability to obtain and maintain subject consent;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risk that enrolled subjects will drop out before completion of the trial;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ability to monitor patients adequately during and after treatment;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proximity and availability of clinical trial sites for prospective patients;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unforeseen events, such as natural or manmade disasters, public health emergencies may impact our operations, or other natural catastrophic events.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expect that some of our product candidates will focus on rare genetically defined diseases with limited patient pools from which to draw for enrollment in clinical trials. The eligibility criteria of our clinical trials will further limit the pool of available trial participants. In addition to the factors identified above, patient enrollment in any clinical trials we or our collaborators may conduct may be adversely impacted by any negative outcomes our competitors may experience, including adverse side effects, clinical data showing inadequate efficacy or failures to obtain regulatory approval.</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Furthermore, our or our collaborators’ ability to successfully initiate, enroll and conduct a clinical trial outside the United States is subject to numerous additional risks, including: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difficulty in establishing or managing relationships with CROs and physicians;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differing standards for the conduct of clinical trials;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differing standards of care for patients with a particular disease;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an inability to locate qualified local consultants, physicians and partners; and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potential burden of complying with a variety of foreign laws, medical standards and regulatory requirements, including the regulation of pharmaceutical and biotechnology products and treatments.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Enrollment delays in clinical trials may result in increased development costs for any of our product candidates, which may cause the value of our company to decline and limit our ability to obtain additional financing. If we or our collaborators have difficulty enrolling a sufficient number of patients to conduct clinical trials as planned, we may need to delay, limit or terminate ongoing or planned clinical trials, any of which may have an adverse effect on our results of operations and prospects.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Results of preclinical studies and early clinical trials of product candidates may not be predictive of results of later studies or trials. Our product candidates may not have favorable results in later clinical trials, if any, or receive regulatory approval.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Preclinical and clinical drug development is expensive and can take many years to complete, and its outcome is inherently uncertain. Failure can occur at any time during the preclinical study or clinical trial process. Despite promising preclinical or clinical results, any product candidate can unexpectedly fail at any stage of preclinical or clinical development. The historical failure rate for product candidates in our industry is high.</w:t>
      </w:r>
    </w:p>
    <w:p>
      <w:pPr>
        <w:pStyle w:val="TextBody"/>
        <w:bidi w:val="0"/>
        <w:spacing w:lineRule="auto" w:line="288" w:before="0" w:after="240"/>
        <w:jc w:val="left"/>
        <w:rPr/>
      </w:pPr>
      <w:r>
        <w:rPr>
          <w:rFonts w:ascii="Times New Roman;serif" w:hAnsi="Times New Roman;serif"/>
          <w:b w:val="false"/>
          <w:color w:val="000000"/>
          <w:sz w:val="20"/>
        </w:rPr>
        <w:t xml:space="preserve">The results from preclinical studies or early clinical trials of a product candidate may not be predictive of the results from later preclinical studies or clinical trials, and interim results of a clinical trial are not necessarily indicative of final results. Product candidates in later stages of clinical trials may fail to show the desired safety and efficacy characteristics despite having progressed through preclinical studies and initial clinical trials. Many companies in the biopharmaceutical and biotechnology industries have suffered significant setbacks at later stages of development after achieving positive results in early stages of development, and we may face similar setbacks. These setbacks have been caused by, among other things, preclinical findings made while clinical trials were underway or safety or efficacy observations made in clinical trials, including previously unreported adverse events. Moreover, non-clinical and clinical data are often susceptible to varying interpretations and analyses, and many companies that believed their product candidates performed satisfactorily in preclinical studies and clinical trials nonetheless failed to obtain regulatory approval. Our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gene editing technology and product candidates have never undergone testing in humans and have only been tested in a limited manner in animals, and results from animal studies may not be predictive of clinical trial results. Even if product candidates progress to clinical trials, these product candidates may fail to show the safety and efficacy in clinical development required to obtain regulatory approval, despite the observation of positive results in animal studies. Our or our collaborators’ failure to replicate positive results from early research programs and preclinical studies may prevent us from further developing and commercializing those or other product candidates, which would limit our potential to generate revenues from them and harm our business and prospects.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foregoing reasons, we cannot be certain that any ongoing or future preclinical studies or clinical trials will be successful. Any safety or efficacy concerns observed in any one of our preclinical studies or clinical trials in a targeted area could limit the prospects for regulatory approval of product candidates in that and other areas, which could have a material adverse effect on our business and prospects.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Interim, “top-line” and initial data from studies or trials that we announce or publish from time to time may change as more data become available and are subject to audit and verification procedures that could result in material changes in the final data.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From time to time, we may publish interim, initial or “top-line” data from preclinical studies or clinical trials, which is based on a preliminary analysis of then-available data, and the results and related findings and conclusions are subject to change following a more comprehensive review of the data related to the particular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Initial or “top-line” data also remain subject to audit and verification procedures that may result in the final data being materially different from these initial data we previously published. As a result, interim, initial and “top-line” data should be viewed with caution until the final data are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Additionally, interim data from clinical trials that we may complete are subject to the risk that one or more of the clinical outcomes may materially change as patient enrollment continues and more patient data become available. Adverse differences between initial or interim data and final data could significantly harm our business prospects.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If the top-line data that we report differ from actual results, or if others, including regulatory authorities, disagree with the conclusions reached, our ability to obtain approval for, and commercialize, product candidates may be harmed, which could significantly harm our business prospects.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product candidates may not work as intended or cause undesirable side effects that could hinder or prevent receipt of regulatory approval or realization of commercial potential for them or our other product candidates and substantially harm our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product candidates may be associated with off-target editing or other serious adverse events, undesirable side effects or unexpected characteristics, including large deletions and translocations or chromosomal abnormalities. Results of clinical trials could reveal severe or recurring side effects, toxicities or unexpected events, including death. Off-target cuts could lead to disruption of a gene or a genetic regulatory sequence at an unintended site in the DNA. In those instances where we also provide a segment of DNA, it is possible that following off-target cut events, such DNA could be integrated into the genome at an unintended site, potentially disrupting another important gene or genomic element. There may also be delayed adverse events following exposure to therapeutics made with genome editing technologies due to persistent biologic activity of the genetic material or other components of products used to carry the genetic material. In addition to serious adverse events or side effects caused by product candidates we develop alone or with collaborators, the administration process or related procedures may also cause undesirable side effects.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Further, any side effects may not be appropriately recognized or managed by the treating medical staff. We or our collaborators expect to have to educate medical personnel using any product candidates we may develop to understand the side effect profiles for our clinical trials and upon any commercialization of such product candidates. Inadequate recognition or management of the potential side effects of such product candidates could result in patient injury or death.</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any such events occur, clinical trials or commercial distribution of any product candidates or products we develop alone or with collaborators could be suspended or terminated, and our business and reputation could suffer substantial harm. Treatment-related side effects could affect patient recruitment and the ability of enrolled patients to complete the trial or result in potential liability claims. Regulatory authorities could order us or our collaborators to cease further development of, deny approval of or require us to cease selling any product candidates or products for any or all targeted indications. If we or our collaborators elect, or are required, to delay, suspend or terminate any clinical trial or commercialization efforts, the commercial prospects of such product candidates or products may be harmed, and our ability to generate product revenues from them or other product candidates that we develop may be delayed or eliminated. For information regarding our current clinical trials, please refer to Part I. Item 2 “Management’s Discussion and Analysis of Financial Condition and Results of Operations” of this Quarterly Report on Form 10-Q.</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Additionally, if we successfully develop a product candidate alone or with collaborators and it receives marketing approval, the FDA or foreign regulatory authorities could require us to adopt a REMS or similar risk management measures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similar risk management measures or engage in similar actions, such as patient education, certification of health care professionals or specific monitoring, if we or others later identify undesirable side effects caused by any product that we develop alone or with collaborators. Such identification could also have several additional significant negative consequences, such as: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regulatory authorities may suspend, withdraw or limit approvals of such product, or seek an injunction against its manufacture or distribution;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regulatory authorities may require additional warnings on the label, including “boxed” warnings, or issue safety alerts, Dear Healthcare Provider letters, press releases or other communications containing warnings or other safety information about the product;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we may be required to create a medication guide outlining the risks of such side effects for distribution to patients;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we may be required to change the way a product is administered or conduct additional trials;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product may become less competitive;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we or our collaborators may decide to remove the product from the marketplace;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we may be subject to fines, injunctions or the imposition of civil or criminal penalties;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we could be sued and be held liable for harm caused to patients; and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reputation may suffer.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Any of these events could prevent us or our collaborators from achieving or maintaining market acceptance of any potential product, or otherwise have a negative impact on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are subject to federal, state and foreign healthcare laws and regulations relating to our business and could face substantial penalties if we are determined not to have fully complied with such laws, which would have an adverse impact on our business.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business operations, as well as our current and anticipated future arrangements with investigators, healthcare professionals, consultants, third-party payors, customers and patients, expose or will expose us to broadly applicable foreign, federal, and state fraud and abuse and other healthcare laws and regulations. These laws constrain the business or financial arrangements and relationships through which we conduct our operations, including how we research, market, sell and distribute any potential products for which we may obtain marketing approval. Such laws include: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U.S. healthcare program such as Medicare and Medicaid. A person or entity does not need to have actual knowledge of the U.S. federal Anti-Kickback Statute or specific intent to violate it in order to have committed a violation;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U.S. federal civil and criminal false claims laws, including the civil False Claims Act, which can be enforced through civil whistleblower or </w:t>
      </w:r>
      <w:r>
        <w:rPr>
          <w:rFonts w:ascii="Times New Roman;serif" w:hAnsi="Times New Roman;serif"/>
          <w:b w:val="false"/>
          <w:i/>
          <w:color w:val="000000"/>
          <w:sz w:val="20"/>
        </w:rPr>
        <w:t>qui tam</w:t>
      </w:r>
      <w:r>
        <w:rPr>
          <w:color w:val="000000"/>
        </w:rPr>
        <w:t xml:space="preserve"> </w:t>
      </w:r>
      <w:r>
        <w:rPr>
          <w:rFonts w:ascii="Times New Roman;serif" w:hAnsi="Times New Roman;serif"/>
          <w:b w:val="false"/>
          <w:color w:val="000000"/>
          <w:sz w:val="20"/>
        </w:rPr>
        <w:t xml:space="preserve">actions, and civil monetary penalties laws, prohibits, among other things, individuals and entities from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 In addition, the government may assert that a claim including items or services resulting from a violation of the U.S. federal Anti-Kickback Statute constitutes a false or fraudulent claim for purposes of the civil False Claims Act;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U.S. Health Insurance Portability and Accountability Act of 1996 (“HIPAA”), which imposes criminal and civil liability for, among other things, knowingly and willfully executing, or attempting to execute, a scheme to defraud any healthcare benefit program, including private third-party payors,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U.S.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and Medicaid Services (“CMS”) information related to payments or other “transfers of value” made to physicians (defined to include doctors, dentists, optometrists, podiatrists and chiropractors), certain non-physician practitioners such as physician assistants and nurse practitioners, and teaching hospitals, and requires applicable manufacturers and group purchasing organizations to report annually to the CMS, ownership and investment interests held by the physicians described above and their immediate family members;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analogous state and foreign laws and regulations, such as state anti-kickback and anti-corruption and false claims laws, which may apply to our business practices, including, but not limited to, research, distribution, sales and marketing arrangements and claims involving healthcare items or services reimbursed by non-governmental third-party payors, including private insurers, or by the patients themselves; state laws and foreign laws and regulations that require pharmaceutical and device companies to comply with the industry’s voluntary compliance guidelines and the relevant compliance guidance promulgated by the U.S. government or foreign governmental authorities, or otherwise restrict payments that may be made to healthcare providers and other potential referral sources; state and local laws and regulations and foreign laws and regulations that require manufacturers to report information related to payments and other transfers of value to physicians and other healthcare providers or marketing expenditures and pricing information; state and local laws and foreign laws and regulations which require the registration of pharmaceutical sales representatives.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Efforts to ensure that our current and future business arrangements with third parties will comply with applicable healthcare laws and regulations will involve substantial costs. It is possible that governmental authorities may conclude that our business practices, including our relationships with certain physicians, some of whom are compensated in the form of stock options for consulting services provided, do not comply with current or future statutes, regulations, agency guidance or case law involving applicable healthcare laws. If our operations are found to be in violation of any of these or any other health regulatory laws that may apply to us, we may be subject to significant penalties, including the imposition of significant civil, criminal and administrative penalties, damages, monetary fines, disgorgement, individual imprisonment, possible exclusion from participation in Medicare, Medicaid and other U.S. or foreign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or restructuring of our operations, any of which could adversely affect our ability to operate our business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 If any of the above occur, it could adversely affect our ability to operate our business and our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Actual or perceived failures to comply with applicable data protection, privacy and security laws, regulations, standards and other requirements, and the increasing use of social media, could adversely affect our business, results of operations, and financial condition.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can be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our operations and business grow, we may become subject to or affected by new or additional data protection laws and regulations and face increased scrutiny or attention from regulatory authorities. In the U.S., HIPAA, as amended by the Health Information Technology for Economic and Clinical Health Act of 2009 and their implementing regulations, imposes, among other things, certain standards relating to the privacy, security, transmission and breach reporting of individually identifiable health information on covered entities (defined as health plans, health care clearinghouses and certain health care providers) and their respective business associates, individuals or entities that create, receive, maintain or transmit protected health information in connection with providing a service for or on behalf of a covered entity. HIPAA mandates the reporting of certain breaches of health information to the Department of Health and Human Services (“HHS”), affected individuals and if the breach is large enough, the media. Most healthcare providers, including research institutions from which we obtain patient health information, are subject to privacy and security regulations promulgated under HIPAA. While we do not believe that we are currently acting as a covered entity or business associate under HIPAA and thus are not directly regulated under HIPAA,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HIPAA-covered healthcare provider or research institution that has not satisfied HIPAA’s requirements for disclosure of individually identifiable health information.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Certain states have also adopted comparable privacy and security laws and regulations which govern the privacy, processing, and protection of health-related and other personal information. Such laws and regulations are subject to interpretation by various courts and other governmental authorities, thus creating potentially complex compliance issues for us and our future customers and strategic partners. For example, California enacted the California Consumer Privacy Act of 2018, as amended by the California Privacy Rights Act (collectively, the CCPA), which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Similar laws have passed in a number of states,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Europe, we are subject to the European Union General Data Protection Regulation (“EU GDPR”) and to the United Kingdom General Data Protection Regulation and Data Protection Act 2018 (collectively, the “UK GDPR”) (the EU GDPR and UK GDPR together referred to as the “GDPR”). Companies that must comply with the GDPR face increased compliance obligations and risk, including more robust regulatory enforcement of data protection requirements, and potential fines for noncompliance of up to €20 million / £17.5 million or 4% of the annual global revenues of the noncompliant company, whichever is greater.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Despite our efforts to monitor evolving social media communication guidelines and comply with applicable rules, there is risk that the use of social media by us or our employees to communicate about our product candidates or business may cause us to be found in violation of applicable requirements. In addition, our employees may knowingly or inadvertently make use of social media in ways that may not comply with our internal policies or other legal or contractual requirements, which may give rise to liability, lead to the loss of trade secrets or other intellectual property, or result in public exposure of personal information of our employees, clinical trial patients, customers and others. Our potential patient population may also be active on social media and use these platforms to comment on the effectiveness of, or adverse experiences with, our product candidates. Negative posts or comments about us or our product candidates on social media could seriously damage our reputation, brand image and goodwill.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business and operations may suffer in the event of information technology system failures, cyber-attacks or deficiencies in our security, which could materially affect our results.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collect, store and transmit large amounts of confidential information, including intellectual property, proprietary business information, clinical trial data, and personal information (collectively, “Confidential Information”). It is critical that we do so in a secure manner to maintain the confidentiality, availability and integrity of such Confidential Information.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Despite the implementation of security measures, our information technology systems, as well as those of third parties with which we have relationships, are vulnerable to attack, interruption, and damage from computer viruses and malware (e.g., ransomware), malicious code, cyberattacks, hacking, phishing attacks and other social engineering schemes, denial or degradation of service attacks, natural and manmade disasters, terrorism, war and telecommunication and electrical failures, malfeasance by external or internal parties (e.g., employee theft or misuse, attacks by sophisticated nation-state and nation-state-supported actors), and human error. The aforementioned third parties with which we have relationships include service providers and vendors who provide to us a broad array of software and other technologies as well as products, services and functions (e.g., human resources, finance, communications, data transmission, risk, compliance) that enable us to conduct, monitor and/or protect our business, operations, systems and data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and evolved.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Confidential Information. There can also be no assurance that our and our third-party service providers’, strategic partners’, contractors’, consultants’, CROs’ and collaborators’ cybersecurity risk management program and processes, including policies, controls or procedures, will be fully implemented, complied with or effective in protecting our systems, networks and Confidential Information. Furthermore, any integration of artificial intelligence in our or any third party’s operations, products or services is expected to pose new or unknown cybersecurity risks and challenges.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and certain of our service providers are from time to time subject to cyberattacks and security incidents. While we do not believe that we have experienced any material impact to our business strategy, results of operations, or financial condition resulting from a system failure, accident or security breach to date, if such an event were to occur and cause interruptions in our or our critical third parties’ operations, it could result in delays and/or material disruptions of our research and development programs, our operations and our financial results. For example, the loss of trial data from completed, ongoing or planned trials could result in delays in our development and regulatory approval efforts and significantly increase our costs to recover or reproduce the data. To the extent that any disruption or security breach were to result in a loss of or damage to data or applications, or inappropriate disclosure of personal, confidential or proprietary information, we could incur liability due to delays in the development of our product candidates and/or due to reputational harm, litigation, regulatory investigations and enforcement, fines and penalties, or increased costs of compliance and system remediation. Any losses, costs or liabilities may not be covered by, or may exceed the coverage limits of, any or all applicable insurance policies.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To the extent that any disruption or security breach were to result in a loss of, or damage to, our data or systems, or inappropriate disclosure of Confidential Information, we could incur liability, including litigation exposure, penalties and fines, we could become the subject of regulatory action or investigation; our competitive position could be harmed; and the further development and commercialization of our products and services could be delayed. If such an event were to occur and cause interruptions in our operations, it could result in a material disruption of our business.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Any adverse impact to the availability, integrity or confidentiality of our or third-party systems or Confidential Information can result in legal claims or proceedings (such as class actions), regulatory investigations and enforcement actions, fines and penalties,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negative reputational impacts that cause us to lose existing or future customers, and/or significant incident response, system restoration or remediation and future compliance costs.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Attacks upon information technology systems are increasing in their frequency, levels of persistence, sophistication and intensity, and are being conducted by sophisticated and organized groups and individuals with a wide range of motives and expertise. Furthermore, because the technologies used to obtain unauthorized access to, or to sabotage or disrupt,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We may also face increased cybersecurity risks due to our reliance on internet technology and the number of our and our service providers’ employees who work remotely, which may create additional opportunities for cybercriminals to exploit vulnerabilities. The White House, SEC and other regulators have also increased their focus on companies’ cybersecurity vulnerabilities and risks. There can be no assurance that our cybersecurity risk management program and processes, including our policies, controls or procedures, will be fully implemented, complied with or effective in protecting our systems and information.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Federal, state and foreign legislators and regulators globally have enacted or proposed legal requirements regarding the collection, distribution, disclosure, use, processing, security and storage of personally identifiable information and other types of regulated data, including online information and data online. In the ordinary course of our business, we and third parties with which we have relationships will continue to collect and store sensitive data, including intellectual property, clinical trial data, proprietary business information, personal data and personally identifiable information of our clinical trial subjects and employees, in data centers and on networks. The secure processing, maintenance and transmission of this information is critical to our operations. Despite security measures that we and our critical third parties (e.g., collaborators) implement, our information technology systems, infrastructure and data may be vulnerable to attacks by hackers or internal bad actors, breaches due to human error, technical vulnerabilities, malfeasance or other disruptions. A number of proposed and enacted federal, state and international laws and regulations obligate companies to notify individuals and other parties of security breaches involving particular types of information, which could result from breaches experienced by us or by third parties, including collaborators, vendors, contractors or other organizations with which we have formed relationships that involve the handling or processing of such information.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seek orphan drug designation for our product candidates, but we may be unable to obtain such designations or to maintain the benefits associated with orphan drug designation, which may negatively impact our ability to develop or obtain regulatory approval for such product candidates and may reduce our revenue if we obtain such approval.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obtained orphan designation for PBGENE-DMD for the treatment of DMD, and we may seek further orphan drug designation for some or all of our product candidates in specific orphan indications in which there is a medically plausible basis for the use of these products. 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Orphan drug designation must be requested before submitting a BLA.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 Even where we we may seek orphan product designation for some or all of our other product candidates, we may never receive such designations.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If a product that has orphan drug designation subsequently receives the first FDA approval for the disease or condition for which it has such designation, the product is entitled to orphan product exclusivity, which means that the FDA may not approve any other applications, including a BLA, to market the same biologic for the same approved indication or use within such disease or condition for seven years, except in limited circumstances such as a showing of clinical superiority to the product with orphan product exclusivity with respect to the relevant indication or use or if FDA finds that the holder of the orphan drug exclusivity has not shown that it can ensure the availability of sufficient quantities of the orphan drug to meet the needs relating to the approved indication or use of patients with the disease or condition for which the drug was designated. Even if we or our collaborators or licensees obtain orphan drug designation for a product candidate, we or they may not be the first to obtain marketing approval for any particular orphan indication due to the uncertainties associated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with developing pharmaceutical products. Exclusive marketing rights in the United States may be limited if we or our collaborators or licensees seek approval for a disease or condition broader than the orphan designated disease or condition and may be lost if the FDA later determines that the request for designation was materially defective or if the manufacturer is unable to assure sufficient quantities of the product to meet the needs relating to the approved indication or use of patients with the rare disease or condition. Further, even if a product obtains orphan drug exclusivity, that exclusivity may not effectively protect the product from competition because different drugs can be approved for the same indication or use within the same rare disease condition. Even after an orphan drug is approved, the FDA can subsequently approve the same drug for the same indication or use within the relevant disease or condition if the FDA concludes that the later drug is safer, more effective, or makes a major contribution to patient care.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Similarly, in the EU, a medicinal product may receive orphan designation from the European Commission after receiving the opinion of the EMA’s Committee for Orphan Medicinal Products, under Article 3 of Regulation (EC) 141/2000. This applies to products (1) that are intended for a life-threatening or chronically debilitating condition; (2) either (a) such condition affects not more than five in 10,000 persons in the EU when the application is made, or (b) the product, without the benefits derived from orphan status, would be unlikely to generate sufficient returns in the EU to justify the necessary investment, and (3) there exists no satisfactory method of diagnosis, prevention or treatment of such condition authorized for marketing in the EU or, if such a method exists, the product will be of significant benefit to those affected by the condition. In the EU, orphan designation entitles a party to financial incentives such as reduction of fees, fee waivers, specific regulatory assistance and scientific advice, and access to the centralized marketing authorization procedure. Upon grant of a marketing authorization (“MA”) and assuming the requirements for orphan designation are also met at the time the MA is granted, orphan medicinal products are entitled to 10 years of market exclusivity for the approved therapeutic indication, during which time no similar medicinal product for the same indication may be placed on the market. An orphan product can also obtain an additional two years of market exclusivity in the EU for complying with an agreed Pediatric Investigation Plan (“PIP”). However, the 10-year market exclusivity may be reduced to six years if, at the end of the fifth year, it is established that the product no longer meets the criteria for orphan designation, for example, if the product is judged as sufficiently profitable not to justify maintenance of market exclusivity, or when the prevalence of the condition has increased above the orphan designation threshold. Additionally, MA may be granted to a similar product for the same indication at any time if:</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second applicant can establish that its product, although similar, is safer, more effective or otherwise clinically superior;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first applicant consents to a second orphan medicinal product application; or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first applicant cannot supply enough orphan medicinal product.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Post-Brexit, the UK has retained the EU Regulation which governs the designation of medicinal products as orphan drugs and which establishes incentives thereto (Regulation (EC) No. 141/2000) as part of UK law by virtue of the European Union (Withdrawal) Act 2018. However, any future changes to the legal requirements could lead to greater regulatory complexity and increased costs to our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we or our collaborators or licensees do not receive or maintain orphan drug designation for product candidates for which we seek such designation, it could limit our ability to realize revenues from such product candidates.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have obtained a rare pediatric disease designation for PBGENE-DMD, however, there is no guarantee that FDA approval of PBGENE-DMD will result in issuance of a priority review voucher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2012,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that meets certain criteria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have obtained a rare pediatric disease designation for PBGENE-DMD for the treatment of DMD, however, there is no guarantee that we will be able to obtain a priority review voucher, even if PBGENE-DMD is approved by the FDA for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indication. For example, the FDA may determine that a BLA, even if ultimately approved, does not meet the eligibility criteria for a priority review voucher, including for the following reasons: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product no longer meets the definition of a rare pediatric disease;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product contains an active ingredient (including any ester or salt of the active ingredient) that has been previously approved in another marketing application;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application does not rely on clinical data derived from studies examining a pediatric population and dosages of the drug intended for that population;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application is approved for a different adult indication than the rare pediatric disease for which the product is designated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February 3, 2026, the Pediatric Disease Priority Review Voucher program was reauthorized in the Consolidated Appropriations Act of 2026. Moreover, Congress included a sunset provision in the statute authorizing the rare pediatric disease priority review voucher program. Under the current statutory sunset provisions, provided the eligibility criteria are otherwise met, FDA may only award a voucher for an approved rare pediatric disease product application if the sponsor has rare pediatric disease designation for the product candidate and that designation is granted by September 30, 2029.</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 Fast Track Designation from the FDA, even if granted for any of our product candidates, may not lead to a faster development or regulatory review or approval process, and does not increase the likelihood that our product candidates will receive regulatory approval.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April 2025, the FDA granted Fast Track designation to PBGENE-HBV for treatment of chronic hepatitis B infection in adults. Depending on the data from our preclinical and clinical studies, we may decide to seek such designation for some or all of our other product candidates. The Fast Track program is intended to expedite or facilitate the process for reviewing product candidates that meet certain criteria. The FDA, however, has broad discretion whether or not to grant this designation. Even if we believe a particular product candidate is eligible for this designation, we cannot assure you that the FDA would decide to grant it. Even if we do receive Fast Track Designation for any of our product candidates, such product candidates may not experience a faster development process, review or approval compared to conventional FDA procedures. The FDA may also withdraw Fast Track Designation if it believes that the designation is no longer supported by data from our clinical development program. Furthermore, such a designation does not increase the likelihood that PBGENE-HBV or any other product candidate that may be granted Fast Track designation will receive regulatory approval in the U.S. Many product candidates that have received Fast Track Designation have ultimately failed to obtain approval.</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If the product candidates that we or our collaborators may develop receive regulatory approval in the United States or another jurisdiction, they may never receive approval in other jurisdictions, which would limit market opportunities for such product candidate and adversely affect our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Approval of a product candidate in the United States by the FDA or by the requisite regulatory agencies in any other jurisdiction does not ensure approval of such product candidate by regulatory authorities in other countries or jurisdictions. The approval process varies among countries and may limit our or our collaborators’ ability to develop, manufacture, promote and sell product candidates internationally. Failure to obtain marketing approval in international jurisdictions would prevent the product candidates from being marketed outside of the jurisdictions in which regulatory approvals have been received. In order to market and sell product candidates in the EU and many other jurisdictions, we and our collaborators must obtain separate marketing approvals and comply with numerous and varying regulatory requirements. The approval procedure varies among countries and may involve additional preclinical studies or clinical trials both before and after approval. In many countries, any product candidate for human use must be approved for reimbursement before it can be approved for sale in that country. In some cases, the intended price for such product is also subject to approval. Further, while regulatory approval of a product candidate in one country does not ensure approval in any other country, a failure or delay in obtaining regulatory approval in one country may have a negative effect on the regulatory approval process in others. If we or our collaborators fail to comply with the regulatory requirements in international markets or to obtain all required marketing approvals, the target market for a particular potential product will be reduced, which would limit our ability to realize the full market potential for the product and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Current and future legislation may increase the difficulty and cost for us to obtain marketing approval of and commercialize any product candidates we or our collaborators develop and may adversely affect the prices for such product candidates.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United States and certain foreign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or our collaborators’ ability to profitably sell any product candidates that obtain marketing approval.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example, in March 2010, the Patient Protection and Affordable Care Act, as amended by the Health Care and Education Reconciliation Act, collectively the ACA, was enacted in the United States. Among the provisions of the Affordable Care Act of importance to our product candidates, the ACA established an annual, nondeductible fee on any entity that manufactures or imports specified branded prescription drugs and biologic agents, increased the statutory minimum rebates a manufacturer must pay under the Medicaid Drug Rebate Program, extended manufacturers’ Medicaid rebate liability to covered drugs dispensed to individuals who are enrolled in Medicaid managed care organizations, expanded eligibility criteria for Medicaid programs, expanded the entities eligible for discounts under the Public Health program, addressed a new methodology by which rebates owed by manufacturers under the Medicaid Drug Rebate Program are calculated for drugs that are inhaled, infused, instilled, implanted or injected, and created a licensure framework for follow-on biologic products.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Since its enactment, there have been judicial, administrative, executive, and legislative challenges to certain aspects of the ACA, and the most recent judicial challenge to the ACA brought before the Supreme Court was dismissed in June 2021 resulting in the ACA remaining in effect in its current form.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other legislative changes have been proposed and adopted since the ACA was enacted. These changes include the American Rescue Plan Act of 2021, which, effective January 1, 2024, eliminated the statutory Medicaid drug rebate cap, which was previously set at 100% of a drug’s average manufacturer price.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Further, there has been heightened governmental scrutiny recently over pharmaceutical pricing practices in light of the rising cost of prescription drugs and biologics. Such scrutiny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rebates and price negotiation for pharmaceutical products. Most recently, on August 16, 2022, the Inflation Reduction Act of 2022 (the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(which began in 2025). The IRA permits the Secretary of the HHS to implement many of these provisions through guidance, as opposed to regulation, for the initial years. HHS has issued and will continue to issue guidance implementing the IRA. CMS has published the negotiated prices for the initial 10 drugs, which went into effect in 2026, and the subsequent 15 drugs, which will first be effective in 2027, although the Medicare drug price negotiation program is currently subject to legal challenges. For that and other reasons, it is currently unclear how the IRA will be effectuated. At the state level, legislatures have increasingly passed legislation and implemented regulations designed to control pharmaceutical product and medical device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medical devices to purchase and which suppliers will be included in their prescription drug and other healthcare programs.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More recently, 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current Presidential administration is pursuing a two-fold strategy to reduce drug costs in the U.S. While it is unclear whether and how such policies will be implemented, the proposed policies are likely to have a negative impact on the pharmaceutical industry and on our ability to receive adequate revenues for any products we commercialize and any additional product candidates we develop, if approved. As part of this strategy, the current Presidential administration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proposed imposing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In addition, the Trump administration is pursuing traditional regulatory pathways to impose drug pricing policies, although proposed regulations have not yet been published. In addition, pharmaceutical pricing and marketing has long been the subject of considerable discussion in Congress and among policymakers, and it is possible that Congress could enact additional laws that negatively affect the pharmaceutical industry.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expect that other healthcare reform measures that may be adopted in the future, may result in more rigorous coverage criteria, new payment methodologies and in additional downward pressure on the price that we or our collaborators may receive for any approved or cleared product. Any reduction in reimbursement from Medicare or other government programs may result in a similar reduction in payments from private payors. We cannot predict the likelihood, nature or extent of government regulation that may arise from future legislation or administrative action, either in the United States or abroad. If we or our collaborators are slow or unable to adapt to new requirements or policies, or if we or our collaborators are not able to maintain regulatory compliance, any of our product candidates may lose any regulatory approval that may have been obtained and we may not achieve or sustain profitability, which would adversely affect our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December 13, 2021, Regulation No 2021/2282 on Health Technology Assessment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Even if we obtain regulatory approval for any products that we develop alone or with collaborators, such products will remain subject to ongoing regulatory requirements, which may result in significant additional expense.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Even if products we develop alone or with collaborators receive regulatory approval, they will be subject to ongoing regulatory requirements for manufacturing, labeling, packaging, distribution, storage, advertising, promotion, sampling, record-keeping and submission of safety and other post-market information, among other things. Any regulatory approvals received for such products may also be subject to limitations on the approved indicated uses for which they may be marketed or to the conditions of approval, or contain requirements for potentially costly post-marketing testing and surveillance studies. For example, the holder of an approved BLA in the United States is obligated to monitor and report adverse events and any failure of a product to meet the specifications in the BLA. FDA guidance advises that patients treated with some types of gene therapy undergo follow-up observations for potential adverse events for as long as 15 years. Similarly, in the EU, pharmacovigilance obligations are applicable to all medicinal products. In addition to those, holders of a marketing authorization for gene or cell therapy products must detail, in their application, the measures they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envisage to ensure follow-up of the efficacy and safety of these products. In cases of particular concern, marketing authorization holders for gene or cell therapy products in the EU may be required to design a risk management system with a view to identifying, preventing or minimizing risks and may be obliged to carry out post-marketing studies. In the United States, the holder of an approved BLA must also submit new or supplemental applications and obtain FDA approval for certain changes to the approved product, product labeling or manufacturing process. Similar provisions apply in the EU. Advertising and promotional materials must comply with FDA rules and are subject to FDA review, in addition to other potentially applicable federal and state laws. Similarly, in the EU any promotion of medicinal products is highly regulated and, depending on the specific jurisdiction involved, may require prior vetting by the competent national regulatory authority.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product manufacturers and their facilities are subject to payment of user fees and continual review and periodic inspections by the FDA and other regulatory authorities for compliance with GMP requirements and adherence to commitments made in the BLA or foreign marketing application. If we, our collaborators or a regulatory agency discovers previously unknown problems with a product such as adverse events of unanticipated severity or frequency or problems with the facility where the product is manufactured or disagrees with the promotion, marketing or labeling of that product, a regulatory agency may impose restrictions relative to that product, the manufacturing facility or us or our collaborators, including requiring recall or withdrawal of the product from the market or suspension of manufacturing.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Moreover, if any of our product candidates are approved, our product labeling, advertising, promotion and distribution will be subject to regulatory requirements and continuing regulatory review. The FDA and foreign regulatory authorities strictly regulate the promotional claims that may be made about drug products. In particular, a product may not be promoted for uses that are not approved by the FDA and foreign regulatory authorities as reflected in the product’s approved labeling.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we or our collaborators fail to comply with applicable regulatory requirements following approval of any potential products we may develop, authorities may: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issue an untitled enforcement letter or a warning letter asserting a violation of the law;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seek an injunction, impose civil and criminal penalties, and impose monetary fines, restitution or disgorgement of profits or revenues;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suspend or withdraw regulatory approval;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suspend or terminate any ongoing clinical trials or implement requirements to conduct post-marketing studies or clinical trials;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refuse to approve a pending BLA or comparable foreign marketing application (or any supplements thereto) submitted by us or our collaborators;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restrict the labeling, marketing, distribution, use or manufacturing of products;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seize or detain products or otherwise require the withdrawal or recall of products from the market;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refuse to approve pending applications or supplements to approved applications that we or our collaborators submit;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refuse to permit the import or export of products; or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refuse to allow us or our collaborators to enter into government contracts.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Any government investigation of alleged violations of law could require us to expend significant time and resources in response and could generate negative publicity. The occurrence of any event or penalty described above may inhibit our or our collaborators’ ability to commercialize products and our ability to generate revenues.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the FDA’s policies, and policies of foreign regulatory agencies, may change, and additional regulations may be enacted that could prevent, limit or delay regulatory approval of product candidates. We cannot predict the likelihood, nature or extent of government regulation that may arise from future legislation or administrative or executive action, either in the United States or abroad. If we or our collaborators are slow or unable to adapt to changes in existing requirements or the adoption of new requirements, or if we or our collaborators are unable to maintain regulatory compliance, we or they may be subject to enforcement action and we may not achieve or sustain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FDA and other regulatory agencies actively enforce the laws and regulations prohibiting the promotion of off-label uses. If we are found or alleged to have improperly promoted off-label uses, we may become subject to significant liability.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FDA and other regulatory agencies strictly regulate the promotional claims that may be made about prescription products, as our product candidates would be, if approved. In particular, a product may not be promoted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and avoid off-label promotion of our product candidates, if approved, we could become subject to significant liability, which would materially adversely affect our business and financial condition.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Disruptions at the FDA and other government agencies caused by funding shortages, staffing limitations, or policy changes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resulting staff changes, may also slow the time necessary for new biologics or modifications to approved biologics to be reviewed and/or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 If a prolonged government shutdown occurs, or if policy changes, funding shortages or staffing limitations prevent the FDA or other regulatory authorities from conducting their regular inspections, reviews, or other regulatory activities, such events could significantly impact the ability of the FDA or such other regulatory authorities to timely review and process our regulatory submissions, which could seriously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Even if any product we develop alone or with collaborators receives marketing approval, such product may fail to achieve the degree of market acceptance by physicians, patients, healthcare payors and others in the medical community necessary for commercial success.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commercial success of any potential therapeutic products we develop alone or with collaborators will depend upon their degree of market acceptance by physicians, patients, third-party payors and others in the medical community. Even if any potential therapeutic products we develop alone or with collaborators receive marketing approval, they may nonetheless fail to gain sufficient market acceptance by physicians, patients, healthcare payors and others in the medical community. The degree of market acceptance of any product we develop alone or with collaborators, if approved for commercial sale, will depend on a number of factors, including: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efficacy and safety of such product as demonstrated in clinical trials;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prevalence and severity of any side effects;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clinical indications for which the product is approved by FDA or other regulatory authorities;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product labeling or product insert requirements of the FDA or other regulatory authorities, including any limitations or warnings contained in a product’s approved labeling;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public attitudes regarding genome editing technologies;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and any collaborators’ ability to educate the medical community about the safety and effectiveness of the product;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willingness of the target patient population to try new therapies and of physicians to prescribe these therapies, as well as their willingness to accept a therapeutic intervention that involves the editing of the patient’s genome;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potential and perceived advantages compared to alternative treatments;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convenience and ease of administration compared to alternative treatments;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any restrictions on the use of such product together with other treatments or products;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market introduction of competitive products;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publicity concerning such product or competing products and treatments;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ability to offer such product for sale at a competitive price;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strength of marketing and distribution support; and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sufficient third-party coverage and adequate reimbursement.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any products we develop alone or with collaborators do not achieve an adequate level of acceptance, we may not generate significant product revenues, and we may not become profitable.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are unable to establish sales and marketing capabilities or enter into agreements with third parties to sell and market any products we develop alone or with collaborators, the commercialization of such products may not be successful if and when they are approved.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do not have a sales or marketing infrastructure and, as a company, have no experience in the sale, marketing or distribution of biopharmaceutical or other commercial products. To achieve commercial success for any approved products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certain product candidates if and when they are approved.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are risks involved with both establishing our own commercial capabilities and entering into arrangements with third parties to perform these services. For example, restricted or closed distribution channels may make it difficult to distribute products to segments of the patient population, and the lack of complementary medicines to be offered by sales personnel may put us at a competitive disadvantage relative to companies with more extensive product lines.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Recruiting and training a sales force or reimbursement specialists are expensive and time consuming and could delay any product launch. If the commercial launch of a product for which we recruit a sales force and establish marketing and other commercialization capabilities is delayed or does not occur for any reason, we would have prematurely or unnecessarily incurred these commercialization expenses, and our investment would be lost if we cannot retain or reposition our commercialization personnel. Factors that may inhibit our efforts to commercialize products on our own include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unforeseen costs and expenses associated with creating an independent commercialization organization;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inability to recruit, train, retain and effectively manage adequate numbers of effective sales, marketing, customer service and other support personnel, including for reimbursement or medical affairs;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inability of sales personnel to educate adequate numbers of physicians on the benefits of our future medicines; and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inability of reimbursement professionals to negotiate arrangements for formulary access, reimbursement and other acceptance by payors.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we choose to enter into arrangements with third parties to perform sales, marketing, commercial support or distribution services, we may not be successful in entering into such arrangements or may be unable to do so on terms that are favorable to us. Entering into such third-party arrangements may subject us to a variety of risks, including: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product revenues or profitability to us being lower than if we were to market and sell any products we or our collaborators may develop ourselves;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inability to exercise direct control over sales and marketing activities and personnel;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failure of the third parties to devote necessary resources and attention to, or other inability to, sell and market any products we or our collaborators may develop;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potential disputes with third parties concerning sales and marketing expenses, calculation of royalties and sales and marketing strategies; and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unforeseen costs and expenses associated with sales and marketing.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we do not establish effective commercialization capabilities, either on our own or in collaboration with third parties, we will not be successful in commercializing any of our product candidates that may receive approval.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the market opportunities for any products we develop alone or with collaborators are smaller than our estimates, or if we are unable to successfully identify enough patients, our revenues may be adversely affected.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focus some of our research and product development on treatments for rare genetic diseases. Our and our collaborators’ projections of both the number of people who have these diseases, as well as the subset of people with these diseases who have the potential to benefit from treatment with product candidates we may develop, are based on estimates. These estimates may prove to be incorrect, and new studies may change the estimated incidence or prevalence of these diseases. The number of patients in the United States, Europe and elsewhere may turn out to be lower than expected, and patients may not be amenable to treatment with products that we may develop alone or with collaborators, or may become increasingly difficult to identify or gain access to, any of which would decrease our ability to realize revenue from any such products for such diseases.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successful commercialization of potential products will depend in part on the extent to which governmental authorities and health insurers establish coverage, and the adequacy of reimbursement levels and pricing policies, and failure to obtain or maintain coverage and adequate reimbursement for any potential products that may receive approval, could limit marketability of those products and decrease our ability to generate 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availability of coverage and adequacy of reimbursement by government healthcare programs such as Medicare and Medicaid, private health insurers and other third-party payors is essential for most patients to be able to afford prescription medications such as the potential therapeutic products we develop alone or with collaborators. The ability to achieve acceptable levels of coverage and reimbursement for any potential products that may be approved by governmental authorities will have an effect on our and our collaborators’ ability to successfully commercialize such products. Even if products we develop alone or with collaborators obtain coverage by a third-party payor, the resulting reimbursement payment rates may not be adequate or may require co-payments that patients find unacceptably high. If coverage and reimbursement in the United States, the EU or elsewhere is not available for any products we develop alone or with collaborators that may be approved, or any reimbursement that may become available is decreased or eliminated in the future, we and our collaborators may be unable to commercialize such products.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is significant uncertainty related to the insurance coverage and reimbursement of newly approved drugs and biologics. In the United States, third-party payors, including private and governmental payors, such as the Medicare and Medicaid programs, play an important role in determining the extent to which new drugs and biologics will be covered. In August 2019, the CMS published its decision to cover autologous treatment for cancer with T-cells expressing at least one CAR when administered at healthcare facilities enrolled in the FDA risk evaluation and mitigation strategies and used for an FDA-approved indication or for other uses when the product has been FDA-approved and the use is supported in one or more CMS-approved compendia. The Medicare and Medicaid programs increasingly are used as models in the United States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We cannot predict at this time what third-party payors will decide with respect to the coverage and reimbursement for any product that we develop alone or with collaborators.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or our collaborators to provide scientific and clinical support for the use of any potential products that may be approved to each payor separately, with no assurance that coverage and adequate reimbursement will be applied consistently or obtained in the first instance. Furthermore, rules and regulations regarding reimbursement change frequently, in some cases on short notice. Obtaining coverage and adequate reimbursement for products we develop alone or with collaborators may be particularly difficult because of the higher prices often associated with drugs administered under the supervision of a physician. In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instances, payors may not separately reimburse for the product itself, but only for the treatments or procedures in which such product is used. A decision by a third-party payor not to cover or separately reimburse for products that we develop alone or with collaborators or procedures using such products, could reduce physician utilization of any such products that may receive approval.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Third-party payors are increasingly challenging prices charged for pharmaceutical products and services, and many third-party payors may refuse to provide coverage and reimbursement for particular drugs or biologics when an equivalent generic drug, biosimilar or a less expensive therapy is available. If approved, it is possible that a third-party payor may consider any products that we develop alone or with collaborators as substitutable and only offer to reimburse patients for the less expensive product. Pricing of existing third-party therapeutics may limit the amount we will be able to charge for any products that may receive approval even if we or our collaborators show improved efficacy or improved convenience of administration such products. These payors may deny or revoke the reimbursement status of a given product or establish prices for new or existing marketed products at levels that are too low to enable us to realize an appropriate return on our investment in the product. If reimbursement is not available or is available only at limited levels, we or our collaborators may not be able to successfully commercialize any of the products that we develop, even if approved, and we may not be able to obtain a satisfactory financial return on them. 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any products we develop alone or with collaborators that may receive approval. We expect to experience pricing pressures in connection with the sale of any products that may receive approval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Outside the United States, international operations are generally subject to extensive governmental price controls and other market regulations, and we believe the increasing emphasis on cost-containment initiatives in Europe and elsewhere have and will continue to put pressure on the pricing and usage of any products we develop alone or with collaborators that may receive approval. In many countries, the prices of medical products are subject to varying price control mechanisms as part of national health systems. Other countries allow companies to fix their own prices for medical products, but monitor and control company profits. Additional international price controls or other changes in pricing regulation could restrict the amount that we or our collaborators are able to charge for products that we develop that may receive approval. Accordingly, in markets outside the United States, the reimbursement for such products may be reduced compared with the United States and may be insufficient to generate commercially reasonable revenue and profits.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product candidates for which we intend to seek approval as biologic products may face competition sooner than anticipated.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we are successful in achieving regulatory approval to commercialize any biologic product candidate we develop alone or with collaborators, it may face competition from biosimilar products. In the United States, our product candidates are regulated by the FDA as biologic products subject to approval under the BLA pathway. The Biologics Price Competition and Innovation Act of 2009 (the “BPCIA”) created an abbreviated pathway for the approval of biosimilar and interchangeable biologic products following the approval of an original BLA.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may not be submitted until four years following the date that the reference product was first licensed by the FDA. In addition, the approval of a biosimilar product may not be made effective by the FDA until 12 years after the reference product was first licensed by the FDA.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believe that any of our product candidates that are approved as biological products under a BLA should qualify for the 12-year period of exclusivity. However, there is a risk that this exclusivity could be shortened due to congressional action or otherwise, or that the FDA will not consider such product candidates to be reference products for competing products, potentially creating the opportunity for generic competition sooner than anticipated. If competitors are able to obtain marketing approval for biosimilars referencing any products that we develop alone or with collaborators that may be approved, such products may become subject to competition from such biosimilars, with the attendant competitive pressure and potential adverse consequences.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Jurisdictions in addition to the U.S. have established abbreviated pathways for regulatory approval of biological products that are biosimilar to earlier approved reference products. For example, the EU has had an established regulatory pathway for biosimilars since 2006. For such products, the results of appropriate preclinical or clinical trials must be provided, and guidelines from the EMA detail the type of quantity of supplementary data to be provided for different types of biological product. There are no such guidelines for complex biological products, such as gene or cell therapy medicinal products, and so it is unlikely that biosimilars of those products will currently be approved in the EU. However, guidance from the EMA states that they will be considered in the future in light of the scientific knowledge and regulatory experience gained at the time.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Organization, Structure and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experience difficulties in managing the needs of our business, which could disrupt our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we had 67 full-time employees. Our future financial performance, ability to develop and commercialize product candidates alone or with collaborators and ability to compete effectively will depend in part on our ability to effectively manage the then applicable needs of our business. We may have difficulty identifying, hiring and integrating new personnel. Many of the biotechnology companies that we compete against for qualified personnel and consultants have greater financial and other resources (including the ability to offer greater cash and equity incentive compensation), different risk profiles and a longer history than we do. If we are unable to continue to attract and retain high-quality personnel and consultants, the rate and success at which we can identify and develop product candidates, enter into collaborative arrangements and otherwise operate our business will be limited.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Management may need to divert a disproportionate amount of its attention away from our day-to-day activities and devote a substantial amount of time to managing our personnel needs. Due to our limited financial resources and the limited experience of our management team in managing a company with anticipated growth, we may not be able to effectively manage the expected demands of our operations or recruit and train additional qualified personnel. Moreover, addressing our personnel needs may lead to significant costs and may divert our management and business development resources from other projects, such as the development of product candidates. If we are not able to effectively manage our operations, it may result in weaknesses in our infrastructure, increase our expenses more than expected, or give rise to operational mistakes, loss of business opportunities, loss of employees and reduced productivity. Our future financial performance, ability to successfully commercialize any of our product candidates and our ability to compete effectively will depend, in part, on our ability to effectively manage any future growth and then applicable needs.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engage in transactions that could disrupt our business, cause dilution to our stockholders or reduce our financial resources.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future, we may enter into transactions to acquire or in-license rights to product candidates, products or technologies or that involve the acquisition of or investment in other businesses. If we do identify suitable candidates, we may not be able to enter into such transactions on favorable terms, or at all. Any such acquisitions, investments or in-licenses may not strengthen our competitive position, and these transactions may be viewed negatively by customers or investors. We may decide to incur debt in connection with an acquisition, investment or in-license, which may negatively impact our financial condition and restrict our operations, or issue our common stock or other equity securities to the stockholders of the acquired company, which would reduce the percentage ownership of our existing stockholders. In addition, we are exposed to risks related to our investments, and we may realize losses in the fair value of our investments or a complete loss of our investments, which would have a negative effect on our financial condition. We could incur losses resulting from undiscovered liabilities of the acquired business that are not covered by the indemnification we may obtain from the sellers of the acquired business. In addition, we may not be able to successfully integrate the acquired personnel, technologies and operations into our existing business in an effective, timely and non-disruptive manner. Such transactions may also divert management attention from day-to-day responsibilities, increase our expenses and reduce our cash available for operations and other uses. We cannot predict the number, timing or size of future acquisitions, investments or in-licenses or the effect that they might have on our operating results.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future success depends on our key executives, as well as attracting, retaining and motivating qualified personnel.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are highly dependent on the research and development experience, technical skills, leadership and continued service of certain members of our management and scientific teams. Although we have formal employment agreements with our executive officers, these agreements do not prevent them from terminating their employment with us at any time. The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of the services of any of these persons could impede the achievement of our research, development and commercialization objectives.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Recruiting and retaining qualified scientific, clinical, manufacturing and, if we retain commercialization responsibility for any product candidate we develop alone or with collaborators, sales and marketing personnel will also be critical to our success. We may not be able to attract new or successor personnel on acceptable terms or at all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strategies. Our consultants and advisors may be employed by employers other than us and may have commitments under consulting or advisory contracts with other entities that may limit their availability to us. The inability to recruit, integrate, motivate and retain additional skilled and qualified personnel, or the loss of services of certain executives, key employees, consultants or advisors, may impede the progress of our research, development and commercialization objectives and have a material adverse effect on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are subject to increased costs as a result of operating as a public company, and our management will be required to devote substantial time to maintaining compliance initiatives and corporate governance practices, including establishing and maintaining proper and effective internal control over financial reporting.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a public company, we have incurred and will continue to incur significant legal, accounting and other expenses that we did not incur as a private company. We are subject to the Securities Exchange Act of 1934, as amended (the “Exchange Act”), including the reporting requirements thereunder, the Sarbanes-Oxley Act of 2002, the Dodd-Frank Wall Street Reform and Consumer Protection Act, the listing requirements of Nasdaq and other applicable securities rules and regulations, including requirements related to the establishment and maintenance of effective disclosure and financial controls and corporate governance practices. Our management and other personnel will need to continue to devote a substantial amount of time to these compliance initiatives. Moreover, these rules and regulations have increased our legal and financial compliance costs, making some activities more difficult, time consuming or costly, and increasing demand on our systems and resources.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Section 404 of the Sarbanes-Oxley Act of 2002 (“Section 404”) we are required to furnish a report by our management on our internal control over financial reporting. However, while we remain a non-accelerated filer within the meaning of the Exchange Act, we will not be required to include an attestation report on internal control over financial reporting issued by our independent registered public accounting firm. If we fail to implement the requirements of Section 404 in the required timeframe, we may be subject to sanctions or investigations by regulatory authorities, including the SEC and Nasdaq. Furthermore, if we are unable to conclude that our internal control over financial reporting is effective, our investors may lose confidence in the accuracy and completeness of our financial reports, the market price of our common stock could decline, and we could be subject to sanctions or investigations by regulatory authorities. Failure to implement or maintain an effective internal control system could also restrict our future access to the capital markets.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insurance policies are expensive and protect us only from some business risks, which leaves us exposed to significant uninsured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do not carry insurance for all categories of risk that our business may encounter. If we obtain marketing approval for any product candidates that we or our collaborators may develop, we intend to acquire insurance coverage to include the sale of commercial products, but we may be unable to obtain such insurance on commercially reasonable terms or in adequate amounts. We do not carry specific biological or hazardous waste insurance coverage, and our property, casualty and general liability insurance policies specifically exclude coverage for damages and fines arising from biological or hazardous waste exposure or contamination.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Accordingly, in the event of contamination or injury, we could be held liable for damages or be penalized with fines in an amount exceeding our resources, and clinical trials or regulatory approvals for any of our product candidates could be suspended. We also expect that operating as a public company will make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our board committees or as our executive officers.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Insurance coverage is becoming increasingly expensive, and in the future, we may not be able to maintain insurance coverage at a reasonable cost or in sufficient amounts to protect us against losses. We do not know if we will be 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maintain existing insurance with adequate levels of coverage, and any liability insurance coverage we acquire in the future may not be sufficient to reimburse us for any expenses or losses we may suffer. A successful liability claim or series of claims brought against us could require us to pay substantial amounts and cause our share price to decline and, if judgments exceed our insurance coverage, could adversely affect our results of operations and business, including preventing or limiting the development and commercialization of any product candidates that we or our collaborators may develop.</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or any of our contract manufacturers or other suppliers fail to comply with environmental, health and safety laws and regulations, we could become subject to fines or penalties or incur significant costs.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and any of our contract manufacturers and suppliers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(under which we currently have an aggregate of approximately $10 million in coverage)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for any product candidate we develop alone or with collaborators could be suspended, which could have a material adverse effect on our business and financial condition.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we may incur substantial costs in order to comply with current or future environmental, health and safety laws, regulations and permitting requirements, and any third-party contract manufacturers and suppliers we engage will also be subject to such current and future regulations and requirements. These current or future laws, regulations and permitting requirements may impair our research, development or production efforts. Failure to comply with these laws, regulations and permitting requirements, either by us or by any third-party contract manufacturers and suppliers we engage, also may result in substantial fines, penalties or other sanctions or business disruption.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business operations, including our current and future relationships with third parties, may expose us to penalties for potential misconduct or improper activity, including non-compliance with regulatory standards and requirements.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Complex laws constrain our business and the financial arrangements and relationships through which we conduct our operations, including how we may research, market, sell and distribute product candidates alone or with collaborators. We are exposed to the risk of fraud or other misconduct by our employees, consultants and collaborators and, if we or our collaborators commence clinical trials and proceed to commercialization, our principal investigators and commercial partners, as well as healthcare professionals, third-party payors, patient organizations and customers. For example, misconduct by these parties could include intentional failures to comply with FDA regulations or the regulations applicable in the EU and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false and/or misleading statements, corruption of government officials, self-dealing and other abusive practices. These laws and regulations restrict or prohibit a wide range of pricing, discounting, marketing, promotion, sales commission and customer incentive programs and other business arrangements. Such misconduct also could involve the improper use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misrepresentation of information obtained in the course of clinical trials, creating fraudulent data in preclinical studies or clinical trials, illegal misappropriation of study materials or other property, or improper interactions with the FDA or other regulatory authorities, which could result in regulatory sanctions and cause serious harm to our or our collaborators’ reputations.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Ensuring that our internal operations and current and future business arrangements with third parties comply with applicable healthcare laws and regulations will involve substantial costs. Additionally, we are subject to the risk that a person or government could allege such fraud or other misconduct, even if none occurred.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additional reporting requirements and oversight if subject to a corporate integrity agreement or similar agreement to resolve allegations of non-compliance with these laws,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similar penalties, such as criminal, civil or administrative sanctions, including exclusions from government-funded healthcare programs and imprisonment, which could affect our ability to operate our business. Further, defending against any such actions can be costly and time-consuming and may require significant personnel resources. Therefore, even if we are successful in defending against any such actions that may be brought against us, our business may be impaired. We have adopted policies applicable to all of our employees, but it is not always possible to identify and deter employee misconduct, and the precautions we take to detect and prevent such activity may not be effective in controlling unknown or unmanaged risks or losses or in protecting us from government investigations or other actions or lawsuits stemming from a failure to comply with applicable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result in the imposition of any of the penalties discussed above and have a significant impact on our business and financial condition.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are subject to complex tax rules relating to our business, and any audits, investigations or tax proceedings could have a material adverse effect on our business, results of operations and financial condition.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subject to income and non-income taxes in the United States. Income tax accounting often involves complex issues, and judgment is required in determining our provision for income taxes and other tax liabilities. We may operate in foreign jurisdictions in the future. We could become subject to income and non-income taxes in foreign jurisdictions as well. In addition, many jurisdictions have detailed transfer pricing rules, which require that all transactions with non-resident related parties be priced using arm’s length pricing principles within the meaning of such rules. The application of withholding tax, goods and services tax, sales taxes and other non-income taxes is not always clear, and we may be subject to tax audits relating to such withholding or non-income taxes. We believe that our tax positions are reasonable, and our tax reserves are adequate to cover any potential liability. We are currently not subject to any tax audits. However, the Internal Revenue Service (“IRS”) or other taxing authorities may disagree with our positions. If the IRS or any other tax authorities were successful in challenging our positions, we may be liable for additional tax and penalties and interest related thereto or other taxes, as applicable, in excess of any reserves established therefor, which may have a significant impact on our results and operations and future cash flow.</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not be able to utilize all, or any, of our net operating loss carryforwards.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incurred substantial losses during our history, do not expect to become profitable in the near future, and we may not achieve profitability. As of December 31, 2025, we had U.S. federal and state net operating loss (“NOL”) carryforwards of $340.2 million and $317.3 million, respectively. Our federal NOL carryforwards carry forward indefinitely. Our state NOL carryforwards begin to expire in 2027. In addition, as of year ended December 31, 2025, we have U.S. federal and state R&amp;D tax credits of $22.5 million and an amount less than $0.1 million available to offset future U.S. federal and state income taxes, which begin to expire in 2029 and 2030, respectively. Additionally, for the year ended December 31, 2025, we had federal Orphan Drug credits of $13.5 million, which begin to expire in 2038.</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tax laws or regulations may adversely impact our ability to utilize all, or any, of our NOL carryforwards. For example, legislation enacted in 2017, informally titled the Tax Cuts and Jobs Act (the “TCJA”), significantly revised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Internal Revenue Code of 1986, as amended (the “Code”). Future guidance from the IRS and other tax authorities with respect to the TCJA may affect us, and certain aspects of the TCJA could be repealed or modified in future legislation. For example, the Coronavirus Aid, Relief, and Economic Security Act (the “CARES Act”) modified certain provisions of the TCJA. Under the CARES Act, NOLs arising in a tax year beginning after December 31, 2017, and before January 1, 2021, generally may now be carried back five years. Under the TCJA, as modified by the CARES Act, unused losses generated in taxable years ending after December 31, 2017 will not expire and may be carried forward indefinitely, but the deductibility of such NOLs in tax years beginning after December 31, 2020, is limited to 80% of taxable income. It is uncertain if and to what extent various states will conform to the TCJA or the CARES Act.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have a valuation allowance for the full amount of our net deferred tax assets as the realization of the net deferred tax assets is not determined to be more likely than not. In addition, Sections 382 and 383 of the Code limit a corporation’s ability to utilize its NOL carryforwards and certain other tax attributes (including research credits) to offset any future taxable income or tax if the corporation experiences a cumulative ownership change of more than 50% over any rolling three-year period. State NOL carryforwards (and certain other tax attributes) may be similarly limited. A Section 382 ownership change can therefore result in significantly greater tax liabilities than a corporation would incur in the absence of such a change, and any increased liabilities could adversely affect the corporation’s business, results of operations, financial condition and cash flow. We have not yet determined if any prior change in the ownership of our equity or any change in such ownership in connection with our IPO, would trigger a Section 382 ownership change. It is possible that such a Section 382 ownership change has already occurred in prior periods. Furthermore, additional ownership changes may occur in the future as a result of events over which we will have little or no control, including purchases and sales of our equity by our 5% stockholders, the emergence of new 5% stockholders, additional equity offerings or redemptions of our stock or certain changes in the ownership of any of our 5% stockholders. As a result, our pre-2018 NOL carryforwards (and research tax credits) may expire prior to being used, and our NOL carryforwards and tax credits generated in 2018 and thereafter will be subject to a percentage limitation, upon an ownership change. Similar provisions of state tax law may also apply to limit our use of accumulated state tax attributes. As a result, even if we attain profitability, we may be unable to use all or a material portion of our NOLs and other tax attributes, which could adversely affect our future cash flows.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Reliance on Third Parties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have entered into significant arrangements with collaborators and expect to depend on collaborations with third parties for certain research, development and commercialization activities, and if any such collaborations are not successful, it may harm our business and prospects.</w:t>
      </w:r>
    </w:p>
    <w:p>
      <w:pPr>
        <w:pStyle w:val="TextBody"/>
        <w:bidi w:val="0"/>
        <w:spacing w:lineRule="auto" w:line="288" w:before="0" w:after="240"/>
        <w:jc w:val="left"/>
        <w:rPr/>
      </w:pPr>
      <w:r>
        <w:rPr>
          <w:rFonts w:ascii="Times New Roman;serif" w:hAnsi="Times New Roman;serif"/>
          <w:b w:val="false"/>
          <w:color w:val="000000"/>
          <w:sz w:val="20"/>
        </w:rPr>
        <w:t xml:space="preserve">We have sought in the past, and anticipate that we will continue to seek in the future, third-party collaborators for the research, development and commercialization of certain product candidates and the research and development of certain technologies. For example, the iECURE agreement focuses on research and development of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gene editing products that utilize or incorporate our ARCUS nucleases. Our potential collaborators for other product research and development arrangements likely include large and mid-size pharmaceutical and biotechnology companies, and our potential collaborators for other technology research and development arrangements likely include universities and other research institutions.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Working with collaborators poses several significant risks. We have limited control over the amount and timing of resources that our collaborators dedicate to the product candidates or technologies we may seek to develop with them. A variety of factors may impact resource allocation decisions of collaborators, such as study or trial results, changes in the collaborator’s strategic focus, turnover in personnel responsible for the development activities, financial capacity or external factors such as a business combination or change in control that diverts resources or creates competing priorities. Collaboration agreements may not lead to development or commercialization of product candidates or the development of technologies in the most efficient manner or at all. Resource allocation and other developmental decisions made by our collaborators may result in the delay or termination of research programs, studies or trials, repetition of or initiation of new studies or trials or provision of insufficient funding or resources for the completion of studies or trials or the successful marketing and distribution of any product candidates that may receive approval. Collaborators could independently develop, or develop with third parties, product candidates or technologies that compete directly or indirectly with our product candidates or technologies if the collaborators believe that competitive products or technologies are more likely to be successfully developed or can be commercialized under terms that are more economically attractive than ours. Collaborators may not properly obtain, maintain, enforce or defend our intellectual property or proprietary rights or may use our proprietary information in such a way that could jeopardize or invalidate our proprietary information or expose us to potential litigation. Disputes may arise between us and our collaborators that result in the delay or termination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research, development or commercialization activities or that result in costly litigation or arbitration that diverts management attention and resources.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ability to generate revenues from these arrangements will depend on our collaborators’ abilities to successfully perform the functions assigned to them in these arrangements. If our collaborations do not result in the successful development and commercialization of product candidates or technologies, or if one of our collaborators terminates its agreement with us, we may not receive any future funding or milestone or royalty payments under the collaboration. If we do not receive the funding we expect under these agreements, our development of product candidates or technologies could be delayed, and we may need additional resources to develop such product candidates or technologies. For example, we waived earned, but unpaid milestone payments in connection with the termination of the development and commercial license agreement by and between Les Laboratoires Servier and Institut de Recherches Internationales, Servier (collectively “Servier”). Our failure to replace any of our terminated collaboration agreements or attract new collaborators may cause us to need to raise additional capital to pursue further development or commercialization of the applicable product candidates or technologies. These events could delay development programs, negatively impact the perception of our company in business and financial communities or cause us to have to cease development of the product candidate covered by the collaboration arrangement. Failure to develop or maintain relationships with any current collaborators could result in the loss of opportunity to work with that collaborator or reputational damage that could impact our relationships with other collaborators in the relatively small industry communities in which we operate. Moreover, all of the risks relating to product development, regulatory approval and commercialization described in this Quarterly Report on Form 10-Q apply to the activities of our collaborators. If the collaborative or strategic relationships we may enter into from time to time are not effective and successful, it may damage our reputation and business prospects, delay or prevent the development and commercialization of product candidates and inhibit or preclude our ability to realize any revenues.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are not able to establish collaborations on commercially reasonable terms, we may have to alter our research, development and commercialization plans.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research and product development programs and the potential commercialization of any product candidates we develop alone or with collaborators will require substantial additional cash to fund expenses, and we expect to continue to seek collaborative arrangements with others in connection with the development and potential commercialization of current and future product candidates or the development of ancillary technologies. We face significant competition in establishing relationships with appropriate collaborators. In addition,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among other things and as applicable for the type of potential product or technology, an assessment of the opportunities and risks of our technology, the design or results of studies or trials, the likelihood of approval, if necessary, by the FDA or similar regulatory authorities outside the United States, the potential market for the subject product candidate, the costs and complexities of manufacturing and delivering such product candidate to patients, the potential of competing products and technologies and industry and market conditions generally.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Current or future collaborators may also consider alternative product candidates or technologies for similar indications that may be available to collaborate on and whether such a collaboration could be more attractive than the one with us. Additionally, we may be restricted by collaboration agreements from entering into future agreements on certain terms or for certain development activities with potential collaborators. For example, we have granted exclusive rights or options to iECURE for certain targets, and during the term of our collaboration and license agreements we will be restricted from granting rights to other parties to use our ARCUS technology to pursue potential products that address those targets. Similarly, our collaboration agreements have in the past and may in the future contain non-competition provisions that could limit our ability to enter into strategic collaborations with future collaborators.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Collaborations are complex and time-consuming to negotiate and document. We may not be able to negotiate collaborations on a timely basis, on acceptable terms, or at all. If we do enter into additional collaboration agreements, the negotiated terms may force us to relinquish rights that diminish our potential profitability from development and commercialization of the subject product candidates or others. If we are unable to enter into additional collaboration agreements, or to maintain existing collaborations, we may have to curtail the research and development of the product candidate or technology for which we are seeking to collaborate, reduce or delay research and development programs, delay potential commercialization timelines, reduce the scope of any sales or marketing activities or undertake research, development or commercialization activities at our own expense. If we elect to increase our expenditures to fund research,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development or commercialization activities on our own, we may need to obtain additional capital, which may not be available to us on acceptable terms or at all.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rely on third parties to conduct, supervise and monitor our clinical trials and some aspects of our research and preclinical testing, and if those third parties do not successfully carry out their contractual duties, comply with regulatory requirements, or otherwise perform in a satisfactory manner, we may not be able to obtain regulatory approval or commercialize product candidates, or such approval or commercialization may be delayed, and our business may be substantially harmed.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rely on medical institutions, universities, clinical investigators, contract laboratories and other third parties, such as CROs, to conduct preclinical studies and future clinical trials for our product candidates. Nevertheless, we will be responsible for ensuring that each of our studies and trials is conducted in accordance with the applicable protocol, legal and regulatory requirements and scientific standards, and our reliance on such third parties will not relieve us of our regulatory responsibilities.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Although we intend to design the trials for our product candidates either alone or with collaborators, third parties may conduct all of the trials. As a result, many important aspects of our research and development programs, including their conduct and timing, will be outside of our direct control. Our reliance on third parties to conduct future studies and trials will also result in less direct control over the management of data developed through studies and trials than would be the case if we were relying entirely upon our own staff. Communicating with outside parties can also be challenging, potentially leading to mistakes and difficulties in coordinating activities. Outside parties may have staffing difficulties, fail to comply with contractual obligations, experience regulatory compliance issues, undergo changes in priorities, become financially distressed or form relationships with other entities, some of which may be our competitors. We also face the risk of potential unauthorized disclosure or misappropriation of our intellectual property by CROs or other third parties, which may reduce our trade secret protection and allow our potential competitors to access and exploit our proprietary technology. For any violations of laws and regulations during the conduct of our preclinical studies and future clinical trials, we could be subject to warning letters or enforcement action that may include civil penalties up to and including criminal prosecution.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example, we will remain responsible for ensuring that each of our clinical trials is conducted in accordance with the general investigational plan and protocols for the trial. Moreover, the FDA requires us to comply with regulations, commonly referred to as GCPs, for conducting, monitoring, recording and reporting the results of clinical trials to assure that data and reported results are credible and accurate and that the rights, integrity and confidentiality of trial participants are protected. If we, our collaborators, our CROs or other third parties fail to comply with applicable GCPs, the clinical data generated in our clinical trials may be deemed unreliable and FDA or comparable foreign regulatory authorities may require us to perform additional clinical trials before approving our marketing applications. We also are required to register certain ongoing clinical trials and post the results of such completed clinical trials on a government-sponsored database, ClinicalTrials.gov, within certain timeframes. Failure to do so can result in fines, adverse publicity and civil and criminal sanctions.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our CROs or other third parties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trials for product candidates may be extended, delayed or terminated, and we or our collaborators may not be able to obtain regulatory approval for, or successfully commercialize, any product candidate that we develop. If we are required to repeat, extend the duration of or increase the size of any trials we conduct, it could significantly delay commercialization and require significantly greater expenditures. As a result of any of these factors, our financial results and the commercial prospects for any product candidate that we or our collaborators may develop would be harmed, our costs could increase and our ability to generate revenues could be delayed.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rely on third parties to supply raw materials or manufacture product supplies that are necessary for the conduct of preclinical studies, clinical trials and manufacturing of our product candidates, and failure by third parties to provide us with sufficient quantities of products, or to do so at acceptable quality levels or prices and on a timely basis, could harm our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are dependent on third parties for the supply of various biological materials, such as cells, cytokines and antibodies, and the manufacture of product supplies, such as media, plasmids, mRNA and AAV viral vectors, which are necessary to produce our product candidates. The supply of these materials could be reduced or interrupted at any time. In such case,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identifying and engaging an alternative supplier or manufacturer could result in delay, and we may not be able to find other acceptable suppliers or manufacturers on acceptable terms, or at all. Switching suppliers or manufacturers may involve substantial costs and is likely to result in a delay in our desired clinical and commercial timelines. If we change suppliers or manufacturers for commercial production, applicable regulatory agencies may require us to conduct additional studies or trials. If key suppliers or manufacturers are lost, or if the supply of the materials is diminished or discontinued, we or our collaborators may not be able to develop, manufacture and market product candidates in a timely and competitive manner, or at all. If any of our product candidates receives approval, we will likely need to seek alternative sources of supply of raw materials or manufactured product supplies and there can be no assurance that we will be able to establish such relationships to provide such supplies on commercially reasonable terms or at acceptable quality levels, if at all. If we are unable to identify and procure additional sources of supply that fit our required needs, we could face substantial delays or incur additional costs in procuring such materials. In addition, manufactured product supplies are subject to stringent manufacturing processes and rigorous testing. Delays in the completion and validation of facilities and manufacturing processes of these materials could adversely affect the ability to complete studies or trials and commercialize any product candidates that may receive approval. Furthermore, if our suppliers or manufacturers encounter challenges relating to employee turnover, the supply and manufacturing of our materials could be delayed or adversely affected as such parties seek to hire and train new employees. These factors could cause the delay of studies or trials, regulatory submissions, required approvals or commercialization of product candidates that we or our collaborators may develop, cause us to incur higher costs and prevent us from commercializing products successfully. Furthermore, if our suppliers or manufacturers fail to meet contractual requirements, and we are unable to secure one or more replacements capable of production at a substantially equivalent cost, our or our collaborators’ studies or trials may be delayed and we could lose potential revenue.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rely on third parties for the manufacturing process of product candidates, and failure by those parties to adequately perform their obligations could harm our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rely on outside vendors for the manufacturing process, including process development, of product candidates that we or our collaborators may develop. The facilities used by our contract manufacturers to manufacture product candidates must be approved by the FDA or other foreign regulatory agencies pursuant to inspections that will be conducted after we submit an application to the FDA or other foreign regulatory agencies. To the extent that we or our collaborators engage third parties for manufacturing services, we will not control the manufacturing process of, and will be completely dependent on, our contract manufacturing providers for compliance with cGMP requirements for manufacture of the product candidates. We have not yet caused any product candidates to be manufactured or processed on a commercial scale and may not be able to do so. We anticipate making changes as we work to optimize the manufacturing process, and we cannot be sure that even minor changes in the process will result in products that are safe and effective. If our contract manufacturers cannot successfully manufacture material that conforms to our specifications and the strict regulatory requirements of the FDA or other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product candidates or if it withdraws any such approval in the future, we may need to find alternative manufacturing facilities, which would significantly impact our ability to develop, obtain regulatory approval for or market any of our or our collaborators’ potential products.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ability to compete may decline if we do not adequately protect our proprietary rights, and if our proprietary rights do not provide a competitive advantage.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upon obtaining and maintaining proprietary rights to our intellectual property estate, including rights relating to ARCUS and to our product candidates, as well as successfully defending these rights against third-party challenges and successfully enforcing these rights to prevent third-party infringement. We will only be able to protect ARCUS and product candidates from unauthorized use by third parties to the extent that valid and enforceable patents cover them. Our ability to obtain and maintain patent protection for ARCUS and our product candidates is uncertain due to a number of factors, including that: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we may not have been the first to invent the technology covered by our pending patent applications or issued patents;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we may not be the first to file patent applications covering product candidates, including their compositions or methods of use, as patent applications in the United States and most other countries are confidential for a period of time after filing;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compositions and methods may not be patentable;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disclosures in patent applications may not be sufficient to meet the statutory requirements for patentability;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any or all of our pending patent applications may not result in issued patents;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others may independently develop identical, similar or alternative technologies, products or compositions or methods of use thereof;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others may design around our patent claims to produce competitive technologies or products that fall outside of the scope of our patents;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we may fail to identify patentable aspects of our research and development output before it is too late to obtain patent protection;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we may not seek or obtain patent protection in countries that may eventually provide us a significant business opportunity;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any patents issued to us may not provide a basis for commercially viable products, may not provide any competitive advantages or may be successfully challenged by third parties;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others may identify prior art or other bases upon which to challenge and ultimately invalidate our patents or otherwise render them unenforceable; and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growing scientific and patent literature relating to engineered endonucleases, including our own patents and publications, may make it increasingly difficult or impossible to patent new engineered nucleases in the future.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Even if we have or obtain patents covering ARCUS or any product candidates or compositions, we and our collaborators may still be barred from making, using and selling such product candidates or technologies because of the patent rights of others. Others may have filed, and in the future may file, patent applications covering compositions, products or methods that are similar or identical to ours, which could materially affect our ability to successfully develop any product candidates or to successfully commercialize any approved products alone or with collaborators. In addition, because patent applications can take many years to issue, there may be currently pending applications unknown to us that may later result in issued patents that we or our collaborators may infringe. These patent applications may have priority over patent applications filed by us.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issuance of a patent is not conclusive as to its inventorship, scope, validity or enforceability, and our owned and licensed patents have been, and may in the future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For example, proceedings held by the Patent Trial and Appeal Board (the “PTAB”), of the USPTO could result in an adverse outcome, affecting our competitive position, including, without limitation, loss of some or all of any involved patent claims, limiting our ability to stop others from using or commercializing similar or identical technology and products, which could harm our business, financial condition and results of operations. Protecting our patent rights in connection with such proceedings may also be expensive and may involve the diversion of significant management time.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Furthermore, we cannot guarantee that any patents will be issued from any pending or future owned or licensed patent applications. Thus, even if our patent applications issue as patents, they may not issue in a form that will provide us with meaningful protection, prevent competitors from competing with us or otherwise provide us with any competitive advantage. In addition, third parties may be able to develop products that are similar to, or better than, ours in a way that is not covered by the claims of our patents, or may have blocking patents that could prevent us from marketing our products or practicing our own patented technology. Moreover, patents have a limited lifespan. In the United States, the natural expiration of a patent is generally 20 years after it is filed. Various extensions may be available; however, the life of a patent, and the protection it affords, is limited. Without patent protection for current or future product candidates, we may be open to competition from generic versions of such potential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those we or our collaborators may develop.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Obtaining and maintaining a patent portfolio entails significant expense, including periodic maintenance fees, renewal fees, annuity fees and various other governmental fees on patents and patent applications. These expenditures can be at numerous stages of prosecuting patent applications and over the lifetime of maintaining and enforcing issued patents. We may or may not choose to pursue or maintain protection for particular intellectual property in our portfolio. If we choose to forgo patent protection or to allow a patent application or patent to lapse purposefully or inadvertently, our competitive position could suffer. There are situations, however, in which failure to make certain payments or noncompliance with certain requirements in the patent process can result in abandonment or lapse of a patent or patent application, resulting in partial or complete loss of patent rights in the relevant jurisdiction. In such an event, our competitors might be able to enter the market, which would have a material adverse effect on our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Legal action that may be required to enforce our patent rights can be expensive and may involve the diversion of significant management time. There can be no assurance that we will have sufficient financial or other resources to file and pursue infringement claims, which typically last for years before they are concluded. In addition, these legal actions could be unsuccessful and result in the invalidation of our patents, a finding that they are unenforceable or a requirement that we enter into a licensing agreement with or pay monies to a third party for use of technology covered by our patents. We may or may not choose to pursue litigation or other actions against those that have infringed on our patents, or have used them without authorization, due to the associated expense and time commitment of monitoring these activities. If we fail to successfully protect or enforce our intellectual property rights, our competitive position could suffer, which could harm our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Many biotechnology companies and academic institutions are currently pursuing a variety of different nuclease systems for genome editing technologies using zinc finger nucleases, TALENs, and CRISPR/Cas9 and the use of those nucleases in cancer immunotherapy, gene therapy and genome editing. Although those nucleases are physically and chemically different from our ARCUS nucleases, those companies and institutions may seek patents that broadly cover aspects of cancer immunotherapy, gene therapy and genome editing using nucleases generally. Such patents, if issued, valid and enforceable, could prevent us from marketing our product candidates, if approved, practicing our own patented technology, or might require us to take a license which might not be available on commercially reasonable terms or at all. While we expect that we will continue to be able to patent our ARCUS nucleases for the foreseeable future, as the scientific and patent literature relating to engineered endonucleases increases, including our own patents and publications, it may become more difficult or impossible to patent new engineered endonucleases in the future.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a party to a number of intellectual property license agreements that are important to our business and expect to enter into additional license agreements in the future. Our existing license agreements impose, and we expect that future license agreements will impose, various diligence, milestone payment, royalty and other obligations on us. We may need to outsource and rely on third parties for many aspects of the development, sales and marketing of any products covered under our current and future license agreements. Delay or failure by these third parties could adversely affect the continuation of our license agreements with our licensors. If we fail to comply with any of our obligations under these agreements, or we are subject to a bankruptcy, our licensors may have the right to terminate the license, in which event we would not be able to market any products covered by the license.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disputes may arise regarding the payment of the royalties due to licensors in connection with our exploitation of the rights we license from them. Licensors may contest the basis of royalties we retained and claim that we are obligated to make payments under a broader basis. In addition to the costs of any litigation we may face as a result, any legal action against us could increase our payment obligations under the respective agreement and require us to pay interest and potentially damages to such licensors.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some cases, patent prosecution of our licensed technology is controlled solely by the licensor. If such licensor fails to obtain and maintain patent or other protection for the proprietary intellectual property we license from such licensor, we could lose our rights to such intellectual property or the exclusivity of such rights, and our competitors could market competing products using such intellectual property. In that event, we may be required to expend significant time and resources to develop or license replacement technology. If we are unable to do so, we or our collaborators may be unable to develop or commercialize the affected product candidates, which could harm our business significantly. In other cases, we control the prosecution of patents resulting from licensed technology. In the event we breach any of our obligations related to such prosecution, we may incur significant liability to our licensing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example, our license agreement (the “Duke License”) with Duke University (“Duke”) imposes various payment, royalty and other obligations on us in order to maintain the license. If we fail to make royalty payments or milestone payments required under the Duke License, Duke may terminate the agreement. If we or our affiliates obtain a license from a third party to practice the Duke technology, we must use commercially reasonable efforts to secure a covenant not to sue Duke, or any of its faculty, students, employees or agents, for any research and development efforts conducted at Duke that resulted in the creation of any of its inventions or intellectual property rights arising therefrom. Additionally, because development of the Duke technology was funded in part by the U.S. government, it is subject to certain government rights and obligations, including the requirement that any products sold in the United States based upon such technology be substantially manufactured in the United States.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our cross-license agreement (the “Cellectis License”) with Cellectis S.A. (“Cellectis”) imposes various obligations on us in order to maintain the license. In particular, if we participate in or provide assistance to a third party challenging the validity, enforceability and/or patentability of any claim of any patent licensed to us by Cellectis under this agreement, Cellectis may terminate the agreement. The Cellectis License does not provide exclusive rights to use the licensed intellectual property and technology or rights in all relevant fields in which we may wish to develop or commercialize our technology and products in the future. As a result, we are not able to prevent competitors from developing and commercializing competitive products and technology that may use this technology. Additionally, we do not have the right to control the preparation, filing, prosecution, maintenance, enforcement and defense of patents and patent applications covering the technology that we license from Cellectis. Therefore, we cannot be certain that these patents and patent applications will be prepared, filed, prosecuted, maintained and defended in a manner consistent with the best interests of our business. If Cellectis or other licensors fail to prosecute, maintain, enforce and defend the patents subject to such licenses, or lose rights to those patents or patent applications, the rights we have licensed may be reduced or eliminated, and our right to develop and commercialize any of our products that are the subject of such licensed rights could be adversely affected.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we fail to comply with our obligations under the Duke License or the Cellectis License, or arrangements with any other licensors, our counterparties may have the right to terminate these agreements, in which event we might not be able to develop, manufacture or market any product candidate that is covered by these agreements, which could materially adversely affect the value of any such product candidate.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Disputes may arise regarding intellectual property subject to a license agreement, including: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scope of rights granted under the license agreement and other interpretation-related issues;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amounts of royalties, milestones or other payments due to our licensors;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extent to which our technology and processes infringe on intellectual property of the licensor that is not subject to the license agreement;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sublicensing of patent and other rights under our collaborative development relationships;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diligence obligations under the license agreement and what activities satisfy those diligence obligations;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ownership of inventions and know-how resulting from the joint creation or use of intellectual property by our licensors and us and our collaborators; and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priority of invention of patented technology.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Such disputes may be costly to resolve and may divert management’s attention away from day-to-day activities. If disputes over intellectual property that we have licensed from third parties prevent or impair our ability to maintain our licensing arrangements on acceptable terms, we or our collaborators may be unable to successfully develop and commercialize the affected product candidates.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Some of our in-licensed intellectual property has been discovered through government funded research and thus may be subject to federal regulations such as “march-in rights”, certain reporting requirements and a preference for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based companies, and compliance with such regulations may limit our exclusive rights and our ability to contract with foreign manufacturers.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Certain intellectual property rights that have been in-licensed pursuant to the Duke License have been generated through the use of U.S. government funding and are therefore subject to certain federal regulations. As a result, the U.S. government may have certain rights to intellectual property embodied in our current or future product candidates pursuant to the Bayh-Dole Act of 1980, or the Patent and Trademark Law Amendments Act. These U.S. government rights include a non-exclusive, non-transferable, irrevocable worldwide license to use inventions for any governmental purpose. In addition, the U.S. government has the right, under certain limited circumstances, to require the licensor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The U.S. government also has the right to take title to these inventions if the licensor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and the Duke License requires that we comply with this requirement.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This preference for U.S. industry may limit our ability to contract with foreign product manufacturers for products covered by such intellectual property. To the extent any of our owned or licensed future intellectual property is also generated through the use of U.S. government funding, the provisions of the Bayh-Dole Act may similarly apply.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do not obtain patent term extension in the United States under the Hatch-Waxman Act and in foreign countries under similar legislation with respect to our product candidates, thereby potentially extending the term of marketing exclusivity for such product candidates, our business may be harmed.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FDA marketing approval of our product candidates, one or more of our U.S. patents may be eligible for limited patent term extension under the Drug Price Competition and Patent Term Restoration Act of 1984, or the Hatch-Waxman Act, which permits a patent term extension of up to five years for a patent covering an approved product as compensation for effective patent term lost during product development and the FDA regulatory review process. In the EU, our product candidates may be eligible for term extensions based on similar legislation. In either jurisdiction, however, we may not receive an extension if we fail to apply within applicable deadlines, fail to apply prior to expiration of relevant patents or otherwise fail to satisfy applicable requirements. 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in effect shortened and our competitors may obtain approval to market competing products sooner. The resulting reduction of years of revenue from applicable products could be substantial.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Patents and patent applications involve highly complex legal and factual questions, which, if determined adversely to us, could negatively impact our patent position.</w:t>
      </w:r>
    </w:p>
    <w:p>
      <w:pPr>
        <w:pStyle w:val="TextBody"/>
        <w:bidi w:val="0"/>
        <w:spacing w:lineRule="auto" w:line="288" w:before="0" w:after="240"/>
        <w:jc w:val="left"/>
        <w:rPr/>
      </w:pPr>
      <w:r>
        <w:rPr>
          <w:rFonts w:ascii="Times New Roman;serif" w:hAnsi="Times New Roman;serif"/>
          <w:b w:val="false"/>
          <w:color w:val="000000"/>
          <w:sz w:val="20"/>
        </w:rPr>
        <w:t xml:space="preserve">The patent positions of biopharmaceutical and biotechnology companies and other actors in our fields of business can be highly uncertain and typically involve complex scientific, legal and factual analyses. In particular, the interpretation and breadth of claims allowed in some patents covering biopharmaceutical compositions may be uncertain and difficult to determine, and are often affected materially by the facts and circumstances that pertain to the patented compositions and the related patent claims. The standards of the USPTO and its foreign counterparts are sometimes uncertain and could change in the future. Consequently, the issuance and scope of patents cannot be predicted with certainty. Patents, if issued, may be challenged, invalidated or circumvented. U.S. patents and patent applications may also be subject to interference or derivation proceedings, and U.S. patents may be subject to reexamination proceedings, post-grant review and/or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 xml:space="preserve">review in the USPTO. International patents may also be subject to opposition or comparable proceedings in the corresponding international patent office, which could result in either loss of the patent or denial of the patent application or loss or reduction in the scope of one or more of the claims of the patent or patent application. In addition,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pPr>
      <w:r>
        <w:rPr>
          <w:rFonts w:ascii="Times New Roman;serif" w:hAnsi="Times New Roman;serif"/>
          <w:b w:val="false"/>
          <w:color w:val="000000"/>
          <w:sz w:val="20"/>
        </w:rPr>
        <w:t xml:space="preserve">interference, derivation, reexamination, post-grant review,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and opposition proceedings may be costly. Accordingly, rights under any issued patents may not provide us with sufficient protection against competitive products or processes.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Furthermore, even if not challenged, our patents and patent applications may not adequately protect our technology and any product candidates or products that we develop alone or with collaborators or prevent others from designing their products to avoid being covered by our claims. If the breadth or strength of protection provided by the patent applications we hold with respect to product candidates or potential products is threatened, it could dissuade companies from collaborating with us to develop, and could threaten our or their ability to successfully commercialize, such product candidates. Furthermore, for U.S. applications in which any claim is entitled to a priority date before March 16, 2013, an interference proceeding can be provoked by a third party or instituted by the USPTO in order to determine who was the first to invent any of the subject matter covered by such patent claims.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changes in, or different interpretations of, patent laws in the United States and other countries may permit others to use our discoveries or to develop and commercialize our technology and product candidates or products without providing any compensation to us, or may limit the scope of patent protection that we are able to obtain. The laws of some countries do not protect intellectual property rights to the same extent as U.S. laws, and those countries may lack adequate rules and procedures for defending our intellectual property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the patent applications we hold or have in-licensed with respect to our current and future research and development programs and product candidates fail to issue, if their validity, breadth or strength of protection is threatened, or if they fail to provide meaningful exclusivity for our technology or any products and product candidates that we or our collaborators may develop, it could dissuade companies from collaborating with us to develop product candidates, encourage competitors to develop competing products or technologies and threaten our or our collaborators’ ability to commercialize future product candidates. Any such outcome could have a material adverse effect on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product candidates, prohibit our use of proprietary technology or sale of potential products or put our patents and other proprietary rights at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upon our ability to develop, manufacture, market and sell product candidates without alleged or actual infringement, misappropriation or other violation of the patents and proprietary rights of third parties. Litigation relating to infringement or misappropriation of patent and other intellectual property rights in the pharmaceutical and biotechnology industries is common, including patent infringement lawsuits, interferences, oppositions and reexamination proceedings before the USPTO and corresponding international patent offices. The various markets in which we plan to operate are subject to frequent and extensive litigation regarding patents and other intellectual property rights. In addition, many companies in intellectual property-dependent industries, including the biotechnology and pharmaceutical industries, have employed intellectual property litigation as a means to gain an advantage over their competitors. Numerous United States, EU and other internationally issued patents and pending patent applications, which are owned by third parties, exist in the fields in which we and our collaborators are developing product candidates, and as the biotechnology and pharmaceutical industries expand and more patents are issued, the risk increases that our product candidates may be subject to claims of infringement of the intellectual property rights of third parties. As a result of any patent infringement claims, or in order to avoid any potential infringement claims, we may choose to seek, or be required to seek, a license from the third party, which may require payment of substantial royalties or fees, or require us to grant a cross-license under our intellectual property rights, similar to the cross license we granted Cellectis as part of our patent litigation settlement. These licenses may not be available on reasonable terms or at all. Even if a license can be obtained on reasonable terms, the rights may be nonexclusive, which would give our competitors access to the same intellectual property rights. If we are unable to enter into a license on acceptable terms, we or our collaborators could be prevented from commercializing one or more product candidates, or forced to modify such product candidates, or to cease some aspect of our business operations, which could harm our business significantly. We or our collaborators might also be forced to redesign or modify our technology or product candidates so that we no longer infringe the third-party intellectual property rights, which may result in significant cost or delay to us, or which redesign or modification could be impossible or technically infeasible. Even if we were ultimately to prevail, any of these events could require us to divert substantial financial and management resources that we would otherwise be able to devote to our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Further, if a patent infringement suit is brought against us, our collaborators or our third-party service providers, our development, manufacturing or sales activities relating to the product or product candidate that is the subject of the suit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may be delayed or terminated. In addition, defending such claims has in the past and may in the future cause us to incur substantial expenses and, if successful, could cause us to pay substantial damages if we are found to be infringing a third party’s patent rights. These damages potentially include increased damages and attorneys’ fees if we are found to have infringed such rights willfully.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In addition, if the breadth or strength of protection provided by the patents and patent applications we own or in-license is threatened, it could dissuade companies from collaborating with us to license, develop or commercialize current or future product candidates.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been and may in the future be subject to third-party claims and similar adversarial proceedings or litigation in other jurisdictions regarding our infringement of the patent rights of third parties. Even if such claims are without merit, a court of competent jurisdiction could hold that these third-party patents are valid, enforceable and infringed, and the holders of any such patents may be able to block or our collaborators’ ability to further develop or commercialize the applicable product candidate unless we obtain a license under the applicable patents, or until such patents expire or are finally determined to be invalid or unenforceable. Similarly, if any third-party patents were held by a court of competent jurisdiction to cover aspects of our technologies, compositions, formulations, or methods of treatment, prevention or use, the holders of any such patents may be able to prohibit our use of those technologies, compositions, formulations, methods of treatment, prevention or use or other technologies, effectively blocking our or our collaborators’ ability to develop and commercialize the applicable product candidate until such patent expires or is finally determined to be invalid or unenforceable or unless we or our collaborators obtain a license.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Some of our competitors may be able to sustain the costs of complex intellectual property litigation more effectively than we can because they have substantially greater resources. In addition, intellectual property litigation, regardless of its outcome, may cause negative publicity, adversely impact prospective customers, cause product shipment delays or prohibit us from manufacturing, marketing or otherwise commercializing our products, services and technology. Any uncertainties resulting from the initiation and continuation of any litigation could have a material adverse effect on our ability to raise additional funds or otherwise have a material adverse effect on our business, results of operation, financial condition or cash flows.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we or one of our licensors were to initiate legal proceedings against a third party to enforce a patent covering our technology or a product candidate, the defendant could counterclaim that our patent is invalid or unenforceable. In patent litigation in the United States and Europe, defendant counterclaims alleging invalidity or unenforceability are common. Grounds for a validity challenge could be an alleged failure to meet any of several statutory requirements, for example, lack of novelty, obviousness or non-enablement. Third parties might allege unenforceability of our patents because during prosecution of the patent an individual connected with such prosecution withheld relevant information, or made a misleading statement.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but that an adverse third party may identify and submit in support of such assertions of invalidity. If a defendant were to prevail on a legal assertion of invalidity or unenforceability, we would lose at least part, and perhaps all, of the patent protection on our technology or product candidates. Our patents and other intellectual property rights also will not protect our technology if competitors design around our protected technology without infringing our patents or other intellectual property rights. Even if resolved in our favor, litigation or other legal proceedings relating to intellectual property claims may cause us to incur significant expenses and could distract our technical and management personnel from their normal responsibilities. 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and if securities analysts or investors view these announcements in a negative light, the price of our common stock could be adversely affected. Such litigation or proceedings could substantially increase our operating losses and reduce our resources available for development activities. We may not have sufficient financial or other resources to adequately conduct such litigation or proceedings.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Developments in patent law could have a negative impact on our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Supreme Court, other federal courts, the United States Congress, (“Congress”), the USPTO and similar international authorities may change the standards of patentability, and any such changes could have a negative impact on our business. For example, the America Invents Act (the “AIA”), which was passed in September 2011, resulted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significant changes to the U.S. patent system. An important change introduced by the AIA is that, as of March 16, 2013, the United States transitioned from a “first-to-invent” to a “first-to-file” system for deciding which party should be granted a patent when two or more patent applications are filed by different parties claiming the same invention. Under a “first-to-file” system, assuming the other requirements for patentability are met, the first inventor to file a patent application generally will be entitled to a patent on the invention regardless of whether another inventor had made the invention earlier. A third party that files a patent application in the USPTO after that date but before us could therefore be awarded a patent covering an invention of ours even if we made the invention before it was made by the third party. Circumstances could prevent us from promptly filing patent applications on our inventions.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AIA limited where a patentee may file a patent infringement suit and provided opportunities for third parties to challenge any issued patent in the USPTO. Those provisions apply to all of our U.S. patents, regardless of when issued.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These provisions could increase the uncertainties and costs surrounding the prosecution of our or our licensors’ patent applications and the enforcement or defense of our or our licensors’ issued patents.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Additionally, the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our patents and patent applications. Depending on decisions by Congress, the federal courts and the USPTO, the laws and regulations governing patents could change in unpredictable ways and could weaken our ability to obtain new patents or to enforce our existing patents and patents that we might obtain in the future. In addition, the European patent system is relatively stringent in the type of amendments that are allowed during prosecution, but the complexity and uncertainty of European patent laws has also increased in recent years. Complying with these laws and regulations could limit our ability to obtain new patents in the future that may be important for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were unable to protect the confidentiality of our trade secrets and enforce our intellectual property assignment agreements, our business and competitive position would be harmed.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to patent protection, because we operate in the highly technical field of development of product candidates and products using genome editing, we rely significantly on trade secret protection in order to protect our proprietary technology and processes. Trade secrets are difficult to protect. Our policy is to enter into confidentiality and intellectual property assignment agreements with our employees, consultants, outside scientific collaborators, sponsored researchers and other advisors. These agreements generally require that the other party keep confidential and not disclose to third parties all confidential information developed by the party or made known to the party by us during the course of the party’s relationship with us. These agreements also generally provide that inventions conceived by the party in the course of rendering services to us will be our exclusive property. However,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 In addition, these agreements may be held unenforceable and may not effectively assign intellectual property rights to us. If our trade secrets and other unpatented or unregistered proprietary information are disclosed, we are likely to lose such trade secret protection.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agreements with third parties typically restrict the ability of such third parties to publish data potentially relating to our trade secrets. Our academic collaborators typically have rights to publish data, provided that we are notified in advance and may delay publication for a specified period of time in order to secure our intellectual property rights arising from the arrangement. In other cases, publication rights are controlled exclusively by us, although in some cases we may share these rights with other parties. We also conduct joint research and product development activities that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require us to share trade secrets under the terms of our research and development collaborations or similar agreements. In addition to contractual measures, we try to protect the confidential nature of our proprietary information using physical and technological security measures. Such measures may not provide adequate protection for our proprietary information. For example, our security measures may not prevent an employee or consultant with authorized access from misappropriating our trade secrets and providing them to a competitor, and the recourse we have available against such misconduct may not provide an adequate remedy to protect our interests fully. Enforcing a claim that a party illegally disclosed or misappropriated a trade secret can be difficult, expensive and time consuming, and the outcome is unpredictable. In addition, courts outside the United States may be less willing to protect trade secrets. Furthermore, our proprietary information may be independently developed by others in a manner that could prevent legal recourse by us. Competitors could purchase any products we may develop and commercialize and attempt to reverse engineer and replicate some or all of the competitive advantages we derive from our development efforts, willfully infringe our intellectual property rights or design around our protected technology. In addition, our key employees, consultants, suppliers or other individuals with access to our proprietary technology and know-how may incorporate that technology and know-how into projects and inventions developed independently or with third parties. As a result, disputes may arise regarding the ownership of the proprietary rights to such technology or know-how, and any such dispute may not be resolved in our favor. If any of our confidential or proprietary information, including our trade secrets, were to be disclosed or misappropriated, or if any such information was independently developed by a competitor, our competitive position could be harmed and such disclosure or misappropriation could have a material adverse effect on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will not seek to protect our intellectual property rights in all jurisdictions throughout the world, and we may not be able to adequately enforce our intellectual property rights even in the jurisdictions where we seek protection.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Filing, prosecuting and defending patents on product candidates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In-licensing patents covering product candidates in all countries throughout the world may similarly be prohibitively expensive, if such opportunities are available at all.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generally apply for patents in those countries where we intend to make, have made, use, offer for sale or sell products and where we assess the risk of infringement to justify the cost of seeking patent protection. However, we do not seek protection in all countries where we sell products and we may not accurately predict all the countries where patent protection would ultimately be desirable. If we fail to timely file a patent application in any such country or major market, we may be precluded from doing so at a later date. Competitors may use our technologies in jurisdictions where we do not pursue and obtain patent protection to develop their own products and may export otherwise infringing products to territories where we have patent protection, but where our ability to enforce our patent rights is not as strong as in the United States. These products may compete with any products that we or our collaborators may develop, and our patents or other intellectual property rights may not be effective or sufficient to prevent such competition.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laws of some other countries do not protect intellectual property rights to the same extent as the laws of the United States. For example, European patent law restricts the patentability of methods of treatment of the human body more than U.S. law does.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or biotechnologies. As a result, many companies have encountered significant difficulties in protecting and defending intellectual property rights in certain jurisdictions outside the United States. Such issues may make it difficult for us to stop the infringement of our patents, if obtained, or the misappropriation of our other intellectual property rights. For example, many other countries, including countries in the EU,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In those countries, we and our licensors may have limited remedies if patents are infringed or if we or our licensors are compelled to grant a license to a third party, which could materially diminish the value of those patents and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European Union’s Unified Patent Court may in particular present uncertainties for our ability to protect and enforce our patent rights against competitors in Europe. In 2012, the European Patent Package, or (“EU Patent Package”) regulations were passed with the goal of providing a single pan-European Unitary Patent and a new European Unified Patent Court, or UPC, for litigation involving European patents. Implementation of the EU Patent Package occurred in June 2023. Under the UPC, all European patents, including those issued prior to ratification of the European Patent Package, will by default automatically fall under the jurisdiction of the UPC. The UPC provides our competitors with a central forum and unified patent laws to predictably apply to existing European patents, replacing the unpredictable nature of applying individual national laws to each patent. Moreover, the UPC allows for the possibility of a competitor to obtain an injunction in all UPC-contracting states. It will be several years before we will understand the scope of patent rights that will be recognized and the strength of patent remedies that are provided by the UPC. Under the EU Patent Package, we have the right to opt our patents out of the UPC over the first seven years of the court’s existence, but doing so may preclude us from realizing the benefits of the new unified court.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Furthermore, proceedings to enforce our patent rights in foreign jurisdictions could result in substantial costs and divert our efforts and attention from other aspects of our business, subject our patents to the risk of being invalidated or interpreted narrowly, subject our patent applications to the risk of not issuing or provoke third parties to assert claims against us. We may not prevail in any lawsuits that we initiate, and the damages or other remedies awarded to us, if any, may not be commercially meaningful, while the damages and other remedies we may be ordered to pay such third parties may be significant.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not be successful in obtaining or maintaining necessary rights to product components and processes for our development pipeline through acquisitions and in-licenses.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rights, through licenses from third parties and under patents that we own, to the intellectual property to develop the product candidates we are currently developing alone or with collaborators. Because our programs may involve additional product candidates that may require the use of proprietary rights held by third parties, the growth of our business may depend in part on our ability to acquire, in-license or use these proprietary rights. In addition, product candidates may require specific formulations to work effectively and efficiently, and these rights may be held by others. We may be unable to acquire or in-license any compositions, methods of use, processes or other third-party intellectual property rights from third parties that we identify. The licensing and acquisition of third-party intellectual property rights is a competitive area, and a number of more established companies, or companies that have greater resources than we do, may also be pursuing strategies to license or acquire third-party intellectual property rights that we may consider necessary or attractive to develop or commercialize product candidates. These established companies may have a competitive advantage over us due to their size and greater cash resources and clinical development and commercialization capabilities. We may not be able to successfully complete such negotiations and ultimately acquire the rights to the intellectual property surrounding product candidates that we may seek to acquire.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example, we sometimes collaborate with academic institutions to accelerate our preclinical research or development under written agreements with these institutions. Typically, these institutions provide us with an option to negotiate a license to any of the institution’s rights in technology resulting from the strategic alliance. Regardless of such right of first negotiation, we may be unable to negotiate a license within the specified time frame or under terms that are acceptable to us, and the institution may license such intellectual property rights to third parties, potentially blocking our ability to pursue our development and commercialization plans.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companies that perceive us to be a competitor may be unwilling to assign or license to us intellectual property rights that we require in order to successfully develop and commercialize potential products. We also may be unable to obtain such a license or assignment on terms that would allow us to make an appropriate return on our investment. In either event, our business and prospects for growth could suffer.</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If our trademarks and trade names are not adequately protected, then we may not be able to build name recognition in our markets of interest and our business may be adversely affected. We may not be able to protect our rights to our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and other intellectual property may be ineffective and could result in substantial costs and diversion of resources and could adversely impact our financial condition or results of operations.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Owning Our Common Stock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could be subject to securities class action litigation.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past, securities class action litigation has often been brought against a company following a decline in the market price of its securities. This risk is especially relevant to us as a biopharmaceutical company, as our stock price can significantly fluctuate as a result of public announcements regarding the progress of our development efforts for our discovery platform and our product candidates. If we face such litigation, it could result in substantial costs and a diversion of management’s attention and resources, which could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do not currently intend to pay dividends on our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do not intend to pay any dividends to holders of our common stock for the foreseeable future. We currently intend to invest our future earnings, if any, to fund our growth. In addition, our future debt instruments may materially restrict our ability to pay dividends on our common stock. Therefore, you are not likely to receive any dividends on your common stock for the foreseeable future, and the success of an investment in our common stock will depend upon any future appreciation in its value. Consequently, you may need to sell all or part of your common stock after price appreciation, which may never occur, as the only way to realize any future gains on your investment.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Provisions in our amended and restated certificate of incorporation and amended and restated bylaws or Delaware law might discourage, delay or prevent a change in control of our company or changes in our management and therefore depress the trading price of our common stock.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Provisions in our amended and restated certificate of incorporation and our amended and restated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 classified board of directors with three-year staggered terms, which may delay the ability of stockholders to change the membership of a majority of our board of directors;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no cumulative voting in the election of directors, which limits the ability of minority stockholders to elect director candidates;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exclusive right of our board of directors to elect a director to fill a vacancy created by the expansion of the board of directors or the resignation, death or removal of a director, which prevents stockholders from filling vacancies on our board of directors;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ability of our board of directors to alter our amended and restated bylaws without obtaining stockholder approval;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required approval of the holders of at least two-thirds of the shares entitled to vote at an election of directors to adopt, amend or repeal our amended and restated bylaws or repeal the provisions of our amended and restated certificate of incorporation regarding the election and removal of directors;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 prohibition on stockholder action by written consent, which forces stockholder action to be taken at an annual or special meeting of our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requirement that a special meeting of stockholders may be called only by the chairman of the board of directors, our chief executive officer (or our president, in the absence of a chief executive officer) or a majority of our board of directors, which may delay the ability of our stockholders to force consideration of a proposal or to take action, including the removal of directors; and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amended and restated certificate of incorporation and our amended and restated bylaws include exclusive forum provisions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unless we consent in writing to the selection of an alternative forum to the fullest extent permitted by law, the Court of Chancery of the State of Delaware will be the sole and exclusive forum for (1) any derivative action or proceeding brought on our behalf, (2) any action asserting a claim for breach of a fiduciary duty owed by any of our directors, officers or other employees to us or our stockholders, (3) any action asserting a claim arising pursuant to any provision of the General Corporation Law of the State of Delaware, our amended and restated certificate of incorporation or our amended and restated bylaws, or (4) any action asserting a claim governed by the internal affairs doctrine. Under our amended and restated certificate of incorporation, this exclusive forum provision will not apply to claims which are vested in the exclusive jurisdiction of a court or forum other than the Court of Chancery of the State of Delaware, or for which the Court of Chancery of the State of Delaware does not have subject matter jurisdiction. For instance, the provision would not apply to actions arising under federal securities laws, including suits brought to enforce any liability or duty created by the Exchange Act or the rules and regulations thereunder. Further, our amended and restated bylaws provide that, unless we consent in writing to the selection of an alternative forum, to the fullest extent permitted by law, the federal district courts of the United States will be the exclusive forum for the resolution of any complaint asserting a cause of action arising under the Securities Act and that any person or entity purchasing or otherwise acquiring or holding any interest in shares of our capital stock are deemed to have notice of and consented to this provision. 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For example, stockholders who do bring a claim in the Court of Chancery could face additional litigation costs in pursuing any such claim, particularly if they do not reside in or near the State of Delaware. The Court of Chancery may also reach different judgments or results than would other courts, including courts where a stockholder considering an action may be located or would otherwise choose to bring the action, and such judgments or results may be more favorable to us than to our stockholders.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are a “smaller reporting company” and the reduced disclosure requirements applicable to smaller reporting companies may make our common stock less attractive to investors.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under applicable regulations promulgated by the SEC. We will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As a smaller reporting company, we are able to take advantage of certain exemptions from disclosure requirements, including presenting only the two most recent fiscal years of audited financial statements and reduced disclosure obligations regarding executive compensation in our periodic reports and proxy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cannot predict whether investors will find our common stock less attractive if we rely on the exemptions available to smaller reporting companies. If investors find our common stock less attractive as a result, there may be a less active trading market for our common stock and our stock price may be reduced or more volatile. To the extent we take advantage of such reduced disclosure obligations, it may also make comparison of our financial statements with other public companies difficult or impossible.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or third parties with whom we have relationships may be adversely affected by natural or manmade disasters, public health emergencies and other natural catastrophic events, and our business continuity and disaster recovery plans may not adequately protect us from a serious disaster.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Natural or manmade disasters could severely disrupt our operations and have a material adverse effect on our business, results of operations, financial condition and prospects. If a natural disaster, public health emergency, power outage or other event occurred that prevented us from using all or a significant portion of our facilities, that damaged our infrastructure or that otherwise disrupted operations, it may be difficult or, in certain cases, impossible for us to continue our business for a substantial period of time, and our research and development activities could be setback or delayed.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and such an event could disrupt our operations, cause us to incur remediation costs, damage our reputation and cause a loss of confidence in us and our or third parties’ ability to conduct clinical trials, which could adversely affect our reputation and delay our research and development programs.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Unstable market and economic conditions may have serious adverse consequences on our business, financial condition and stock price.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Global credit and financial markets have experienced extreme volatility and disruptions in the recent past, including severely diminished liquidity and credit availability, declines in consumer confidence, declines in economic growth, increases in unemployment rates, exchange rate impacts and uncertainty about economic stability, and similar deterioration in the credit and financial markets and confidence in economic conditions may occur in the future. Our general business strategy may be adversely affected by any such economic downturn, volatile business environment or unpredictable and unstable market conditions. If the current equity and credit markets deteriorate, or do not improve, it may make any necessary debt or equity financing more difficult, more costly and more dilutive. If we are unable to obtain sufficient funding on a timely basis or on favorable terms, we may be required to significantly delay, alter, reduce or eliminate one or more of our research or product development programs and/or commercialization efforts, or to grant rights to develop and market products or product candidates that we would otherwise prefer to develop and market ourselves. We may also be otherwise unable to execute our business plan or growth strategy, or capitalize on business opportunities as desired.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there is a risk that one or more of our current service providers, manufacturers or others with whom we have strategic relationships may not survive any difficult economic times, which could directly affect our ability to attain our operating goals.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cash equivalents and restricted cash of $112.4 million. While we are not aware of any downgrades, material losses or other significant deterioration in the fair value of our cash equivalents since June 30, 2026, deterioration of the global credit and financial markets could negatively impact our current portfolio of cash equivalents or our ability to meet our financing objectives. In addition, we may have bank deposits at financial institutions in excess of FDIC insured limits, and we currently maintain and are required to maintain such deposits at the Banc of California pursuant to the 2024 Loan and Security Agreement. Market conditions can impact the viability of these institutions and, in the event of failure of the financial institution where we maintain our cash and cash equivalents, if the treatment of our cash sweep accounts were called into question in a bank receivership or if there is continued turmoil in the banking industry generally, we may not be able to access uninsured funds in a timely manner or at all, which would adversely impact our business, financial condition and results of operations. Furthermore, our stock price may decline due in part to the volatility of the stock market and any general economic downturn.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market price of our common stock may be volatile and fluctuate substantially, which could result in substantial losses for purchasers of our common stock.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is likely to be highly volatile and may fluctuate substantially due to many factors, including: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inconsistent trading volume levels of our common stock;</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announcements or expectations regarding debt or equity financing efforts;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sales of common stock by us, our insiders or our other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actual or anticipated fluctuations in our financial condition and operating results;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failure to meet or exceed financial estimates and projections of the investment community or that we provide to the public;</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results from or delays in our studies or trials, or those of our collaborators, competitors or companies perceived to be similar to us;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delay, failure or discontinuation of any of our product development and research programs, or those of our collaborators, competitors or companies perceived to be similar to us;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announcements about new research programs or product candidates from us or our collaborators, our competitors or companies perceived to be similar to us;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announcements by us, our collaborators, our competitors or companies perceived to be similar to us relating to significant acquisitions, strategic partnerships or alliances, joint ventures, collaborations or capital commitments;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actual or anticipated changes in our growth rate relative to our competitors or companies perceived to be similar to us;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fluctuations in the valuation of our collaborators, our competitors or companies perceived to be comparable to us;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 lack of, limited or withdrawal of coverage by security analysts, or positive or negative recommendations by them;</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actual or expected changes in estimates as to financial results, development timelines or recommendations by securities analysts;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publication of research reports about us, genome editing or the biopharmaceutical industries;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developments or changing views regarding the use of genomic products, including those that involve genome editing;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effectively manage our growth;</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recruitment or departure of key personnel;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results of any efforts by us to identify, develop, acquire or in-license additional product candidates, products or technologies;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unanticipated serious safety concerns related to the use of any of our product candidates, or those of our competitors or companies perceived to be similar to us;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termination of a collaboration agreement, licensing agreement or other strategic arrangement or the inability to establish additional strategic arrangements on favorable terms, or at all;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regulatory actions with respect to any of our product candidates, or those of our competitors or companies perceived to be similar to us;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developments or disputes concerning patent applications, issued patents or other proprietary rights;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regulatory or legal developments in the United States and other countries;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physician, hospital, or healthcare provider practices that may make our or our collaborators’ products less useful;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the structure of healthcare payment systems;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significant lawsuits, such as products liability, patent or stockholder litigation;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short sales of our common stock;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general economic, industry and market conditions.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These and other market and industry factors may cause the market price and demand for our common stock to fluctuate substantially, regardless of our actual operating performance. These factors may have a material adverse effect on the market price and liquidity of our common stock, which may limit or prevent you from readily selling your shares of common stock and may affect our ability to obtain financing or enter into desired strategic relationships.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failure to meet the continued listing requirements of The Nasdaq Capital Market could result in a delisting of our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previously disclosed, on April 24, 2023, we received a letter from Nasdaq (the “Nasdaq Notice”) indicating that we were not in compliance with Nasdaq Listing Rule 5450(a)(1) because the closing bid price per share for our common stock was below $1.00 for the previous 30 consecutive business days (the “Minimum Bid Price Requirement”). The Nasdaq Notice provided an initial period of 180 calendar days in which to regain compliance with the Minimum Bid Price Requirement by achieving a minimum bid price per share of our common stock of at least $1.00 for at least 10 consecutive business days.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October 24, 2023, we received approval from the Listing Qualifications Department of Nasdaq to transfer the listing of our common stock from The Nasdaq Global Select Market to The Nasdaq Capital Market (the “Approval”). Our common stock was transferred to The Nasdaq Capital Market effective as of the open of business on October 26, 2023, and continues to trade under the symbol “DTIL.” The Nasdaq Capital Market operates in substantially the same manner as The Nasdaq Global Select Market, and listed companies must meet certain financial requirements and comply with Nasdaq’s corporate governance requirements. As a result of the Approval and transfer to The Nasdaq Capital Market, we were granted an additional 180-day grace period, or until April 22, 2024, to regain compliance with the Minimum Bid Price Requirement.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January 18, 2024, our stockholders approved a proposal to amend our amended and restated certificate of incorporation to effect a reverse stock split of our common stock at a ratio of not less than 1-for-10 and not more than 1-for-30, with such ratio and the implementation and timing of such reverse stock split to be determined by our board of directors in its sole discretion. On February 6, 2024, our board of directors approved a 1-for-30 reverse stock split of our issued and outstanding common stock, and on February 13, 2024, we filed with the Secretary of State of the State of Delaware a certificate of amendment to our amended and restated certificate of incorporation in order to effect the reverse stock split. As a result of the reverse stock split, every 30 shares of our common stock issued or outstanding were automatically reclassified into one new share of common stock, and the number of our issued and outstanding shares of common stock was reduced to 4,191,053 and 4,164,038, respectively. Trading of our common stock on The Nasdaq Capital Market commenced on a split-adjusted basis on February 14, 2024. The primary goal of the reverse stock split was to increase the per share market price of our common stock to meet the Minimum Bid Price Requirement. All references to numbers of shares of common stock and per-share information in this Quarterly Report on Form 10-Q have been adjusted retroactively, as appropriate, to reflect the reverse stock split.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March 1, 2024, we were notified by Nasdaq Listing Qualifications that the closing bid price of our common stock had been $1.00 per share or greater for 10 consecutive business days, from February 14, 2024 to February 29, 2024. Accordingly, we have regained compliance with the Minimum Bid Price Requirement. Although we regained compliance with the Minimum Bid Price Requirement, there can be no guarantee that we can continue to remain compliant or that we will be able to maintain compliance with the other Nasdaq listing standards.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Delisting our common stock may make it more difficult for us to raise capital on favorable terms in the future and would likely have a negative effect on the price of our common stock and would impair our stockholders’ ability to sell or purchase our common stock.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Minimum Bid Price Requirement or prevent future non-compliance with Nasdaq’s listing requirements. If for any reason our common stock does not maintain eligibility for listing on Nasdaq, we may list our common stock elsewhere, such as one of the over-the-counter markets, which are generally considered less liquid and more volatile than a national securities exchange, and could mean that certain institutional investors could no longer hold or purchase our stock, and as a result, a purchaser of our common stock may find it more difficult to dispose of, or to obtain accurate quotations as to the price of their shares. This could materially and adversely affect the liquidity of our common stock.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securities or industry analysts issue an adverse or misleading opinion regarding our common stock, our stock price and trading volume could decline.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common stock relies in part on the research and reports that industry or securities analysts publish about us or our business. We do not control these analysts. If any of the analysts who cover us issue an adverse or misleading opinion regarding us, our business model, our intellectual property or our stock performance, or if our preclinical studies and operating results fail to meet the expectations of analysts, our stock price would likely decline.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one or more of these analysts ceases coverage of us or fails to publish reports on us regularly, we could lose visibility in the financial markets, which in turn could cause our stock price or trading volume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49"/>
        <w:gridCol w:w="1831"/>
        <w:gridCol w:w="1850"/>
        <w:gridCol w:w="170"/>
        <w:gridCol w:w="170"/>
        <w:gridCol w:w="171"/>
        <w:gridCol w:w="255"/>
        <w:gridCol w:w="255"/>
        <w:gridCol w:w="226"/>
        <w:gridCol w:w="210"/>
        <w:gridCol w:w="210"/>
        <w:gridCol w:w="211"/>
        <w:gridCol w:w="225"/>
        <w:gridCol w:w="225"/>
        <w:gridCol w:w="226"/>
        <w:gridCol w:w="288"/>
        <w:gridCol w:w="288"/>
        <w:gridCol w:w="41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w:t>
              <w:br/>
              <w:t>Date</w:t>
            </w:r>
          </w:p>
        </w:tc>
        <w:tc>
          <w:tcPr>
            <w:tcW w:w="9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Filed/Furnished</w:t>
              <w:br/>
              <w:t>Herewith</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Amended and Restated Certificate of Incorporation of Precision BioSciences, Inc.</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001-38841</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4/1/2019</w:t>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Certificate of Amendment to the Amended and Restated Certificate of Incorporation of Precision BioSciences, Inc.</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001-38841</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2/13/2024</w:t>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Amended and Restated Bylaws of Precision BioSciences, Inc.</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001-38841</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12/22/2023</w:t>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Certificate of Amendment to the Amended and Restated Certificate of Incorporation of Precision BioSciences, Inc.</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001-38841</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5/26/2026</w:t>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First Amendment to Amended and Restated Loan and Security Agreement</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001-38841</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6/16/2026</w:t>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Precision BioSciences, Inc. 2019 Incentive Award Plan, as Amended and Restated</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001-38841</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5/26/2026</w:t>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dtil-20260630xex103xamendm.htm">
              <w:r>
                <w:rPr>
                  <w:rStyle w:val="InternetLink"/>
                  <w:rFonts w:ascii="Times New Roman;serif" w:hAnsi="Times New Roman;serif"/>
                  <w:b w:val="false"/>
                  <w:color w:val="000080"/>
                  <w:sz w:val="20"/>
                  <w:u w:val="single"/>
                </w:rPr>
                <w:t xml:space="preserve">Amendment to Extend </w:t>
              </w:r>
            </w:hyperlink>
            <w:hyperlink w:anchor="dtil-20260630xex103xamendm.htm">
              <w:r>
                <w:rPr>
                  <w:rStyle w:val="InternetLink"/>
                  <w:rFonts w:ascii="Times New Roman;serif" w:hAnsi="Times New Roman;serif"/>
                  <w:b w:val="false"/>
                  <w:color w:val="000080"/>
                  <w:sz w:val="20"/>
                  <w:u w:val="single"/>
                </w:rPr>
                <w:t>Consulting Agreement betwee</w:t>
              </w:r>
            </w:hyperlink>
            <w:hyperlink w:anchor="dtil-20260630xex103xamendm.htm">
              <w:r>
                <w:rPr>
                  <w:rStyle w:val="InternetLink"/>
                  <w:rFonts w:ascii="Times New Roman;serif" w:hAnsi="Times New Roman;serif"/>
                  <w:b w:val="false"/>
                  <w:color w:val="000080"/>
                  <w:sz w:val="20"/>
                  <w:u w:val="single"/>
                </w:rPr>
                <w:t xml:space="preserve">n </w:t>
              </w:r>
            </w:hyperlink>
            <w:hyperlink w:anchor="dtil-20260630xex103xamendm.htm">
              <w:r>
                <w:rPr>
                  <w:rStyle w:val="InternetLink"/>
                  <w:rFonts w:ascii="Times New Roman;serif" w:hAnsi="Times New Roman;serif"/>
                  <w:b w:val="false"/>
                  <w:color w:val="000080"/>
                  <w:sz w:val="20"/>
                  <w:u w:val="single"/>
                </w:rPr>
                <w:t xml:space="preserve">Stanley R. Frankel </w:t>
              </w:r>
            </w:hyperlink>
            <w:hyperlink w:anchor="dtil-20260630xex103xamendm.htm">
              <w:r>
                <w:rPr>
                  <w:rStyle w:val="InternetLink"/>
                  <w:rFonts w:ascii="Times New Roman;serif" w:hAnsi="Times New Roman;serif"/>
                  <w:b w:val="false"/>
                  <w:color w:val="000080"/>
                  <w:sz w:val="20"/>
                  <w:u w:val="single"/>
                </w:rPr>
                <w:t>and Precision BioSciences, Inc., dated June 30, 2026</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dtil-20260630xex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dtil-20260630xex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dtil-20260630xe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9dc1ca7e708745d0b5fcd3670739fb84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219"/>
        <w:gridCol w:w="221"/>
        <w:gridCol w:w="109"/>
        <w:gridCol w:w="109"/>
        <w:gridCol w:w="109"/>
        <w:gridCol w:w="2498"/>
        <w:gridCol w:w="2498"/>
        <w:gridCol w:w="2503"/>
        <w:gridCol w:w="109"/>
        <w:gridCol w:w="109"/>
        <w:gridCol w:w="109"/>
        <w:gridCol w:w="109"/>
        <w:gridCol w:w="109"/>
        <w:gridCol w:w="109"/>
        <w:gridCol w:w="109"/>
        <w:gridCol w:w="109"/>
        <w:gridCol w:w="109"/>
        <w:gridCol w:w="109"/>
        <w:gridCol w:w="109"/>
        <w:gridCol w:w="109"/>
        <w:gridCol w:w="109"/>
        <w:gridCol w:w="109"/>
        <w:gridCol w:w="157"/>
      </w:tblGrid>
      <w:tr>
        <w:trPr/>
        <w:tc>
          <w:tcPr>
            <w:tcW w:w="2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dtil-20260630xe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With Embedded Linkbase Documents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w:t>
      </w:r>
    </w:p>
    <w:p>
      <w:pPr>
        <w:pStyle w:val="TextBody"/>
        <w:bidi w:val="0"/>
        <w:spacing w:lineRule="auto" w:line="288" w:before="0" w:after="4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12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240"/>
        <w:jc w:val="left"/>
        <w:rPr/>
      </w:pPr>
      <w:hyperlink w:anchor="i9dc1ca7e708745d0b5fcd3670739fb84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601" w:type="dxa"/>
        <w:jc w:val="left"/>
        <w:tblInd w:w="0" w:type="dxa"/>
        <w:tblLayout w:type="fixed"/>
        <w:tblCellMar>
          <w:top w:w="28" w:type="dxa"/>
          <w:left w:w="28" w:type="dxa"/>
          <w:bottom w:w="28" w:type="dxa"/>
          <w:right w:w="28" w:type="dxa"/>
        </w:tblCellMar>
      </w:tblPr>
      <w:tblGrid>
        <w:gridCol w:w="667"/>
        <w:gridCol w:w="587"/>
        <w:gridCol w:w="590"/>
        <w:gridCol w:w="364"/>
        <w:gridCol w:w="364"/>
        <w:gridCol w:w="364"/>
        <w:gridCol w:w="1363"/>
        <w:gridCol w:w="1363"/>
        <w:gridCol w:w="193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Precision BioSciences,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10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Amoroso</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Michael Amoroso</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President, Chief Executive Officer and Director</w:t>
              <w:br/>
              <w:t>(principal executive officer and authorized signatory)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10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Naresh Tanna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Naresh Tanna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10.3</w:t>
      </w:r>
    </w:p>
    <w:p>
      <w:pPr>
        <w:pStyle w:val="TextBody"/>
        <w:bidi w:val="0"/>
        <w:spacing w:lineRule="auto" w:line="355" w:before="80" w:after="283"/>
        <w:jc w:val="center"/>
        <w:rPr>
          <w:rFonts w:ascii="Times New Roman;serif" w:hAnsi="Times New Roman;serif"/>
          <w:b/>
          <w:color w:val="000000"/>
          <w:sz w:val="24"/>
        </w:rPr>
      </w:pPr>
      <w:r>
        <w:rPr>
          <w:rFonts w:ascii="Times New Roman;serif" w:hAnsi="Times New Roman;serif"/>
          <w:b/>
          <w:color w:val="000000"/>
          <w:sz w:val="24"/>
        </w:rPr>
        <w:t>PRECISION BIOSCIENCES, INC. AMENDMENT TO EXTEND CONSULTING AGREEMENT</w:t>
      </w:r>
    </w:p>
    <w:p>
      <w:pPr>
        <w:pStyle w:val="TextBody"/>
        <w:bidi w:val="0"/>
        <w:spacing w:lineRule="auto" w:line="276" w:before="162" w:after="283"/>
        <w:jc w:val="both"/>
        <w:rPr/>
      </w:pPr>
      <w:r>
        <w:rPr>
          <w:rFonts w:ascii="Times New Roman;serif" w:hAnsi="Times New Roman;serif"/>
          <w:b w:val="false"/>
          <w:color w:val="000000"/>
          <w:sz w:val="24"/>
        </w:rPr>
        <w:t>This amendment (this “</w:t>
      </w:r>
      <w:r>
        <w:rPr>
          <w:rFonts w:ascii="Times New Roman;serif" w:hAnsi="Times New Roman;serif"/>
          <w:b/>
          <w:color w:val="000000"/>
          <w:sz w:val="24"/>
        </w:rPr>
        <w:t>Amendment</w:t>
      </w:r>
      <w:r>
        <w:rPr>
          <w:color w:val="000000"/>
        </w:rPr>
        <w:t>”</w:t>
      </w:r>
      <w:r>
        <w:rPr>
          <w:rFonts w:ascii="Times New Roman;serif" w:hAnsi="Times New Roman;serif"/>
          <w:b w:val="false"/>
          <w:color w:val="000000"/>
          <w:sz w:val="24"/>
        </w:rPr>
        <w:t>), dated and effective as of June 29, 2026 (the “</w:t>
      </w:r>
      <w:r>
        <w:rPr>
          <w:rFonts w:ascii="Times New Roman;serif" w:hAnsi="Times New Roman;serif"/>
          <w:b/>
          <w:color w:val="000000"/>
          <w:sz w:val="24"/>
        </w:rPr>
        <w:t>Amendment Effective Date</w:t>
      </w:r>
      <w:r>
        <w:rPr>
          <w:color w:val="000000"/>
        </w:rPr>
        <w:t>”</w:t>
      </w:r>
      <w:r>
        <w:rPr>
          <w:rFonts w:ascii="Times New Roman;serif" w:hAnsi="Times New Roman;serif"/>
          <w:b w:val="false"/>
          <w:color w:val="000000"/>
          <w:sz w:val="24"/>
        </w:rPr>
        <w:t>), is entered into by and between Dr. Stanley R. Frankel, MD (the “</w:t>
      </w:r>
      <w:r>
        <w:rPr>
          <w:rFonts w:ascii="Times New Roman;serif" w:hAnsi="Times New Roman;serif"/>
          <w:b/>
          <w:color w:val="000000"/>
          <w:sz w:val="24"/>
        </w:rPr>
        <w:t>Independent Contractor</w:t>
      </w:r>
      <w:r>
        <w:rPr>
          <w:color w:val="000000"/>
        </w:rPr>
        <w:t>”</w:t>
      </w:r>
      <w:r>
        <w:rPr>
          <w:rFonts w:ascii="Times New Roman;serif" w:hAnsi="Times New Roman;serif"/>
          <w:b w:val="false"/>
          <w:color w:val="000000"/>
          <w:sz w:val="24"/>
        </w:rPr>
        <w:t>) and Precision BioSciences, Inc.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w:t>
      </w:r>
    </w:p>
    <w:p>
      <w:pPr>
        <w:pStyle w:val="TextBody"/>
        <w:bidi w:val="0"/>
        <w:spacing w:lineRule="auto" w:line="288" w:before="244" w:after="283"/>
        <w:jc w:val="left"/>
        <w:rPr/>
      </w:pPr>
      <w:r>
        <w:rPr>
          <w:rFonts w:ascii="Times New Roman;serif" w:hAnsi="Times New Roman;serif"/>
          <w:b/>
          <w:color w:val="000000"/>
          <w:sz w:val="24"/>
        </w:rPr>
        <w:t>WHEREAS</w:t>
      </w:r>
      <w:r>
        <w:rPr>
          <w:rFonts w:ascii="Times New Roman;serif" w:hAnsi="Times New Roman;serif"/>
          <w:b w:val="false"/>
          <w:color w:val="000000"/>
          <w:sz w:val="24"/>
        </w:rPr>
        <w:t>, the Independent Contractor and Company have entered into a Consulting Agreement dated June 23, 2025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and</w:t>
      </w:r>
    </w:p>
    <w:p>
      <w:pPr>
        <w:pStyle w:val="TextBody"/>
        <w:bidi w:val="0"/>
        <w:spacing w:lineRule="auto" w:line="280" w:before="274" w:after="283"/>
        <w:jc w:val="both"/>
        <w:rPr/>
      </w:pPr>
      <w:r>
        <w:rPr>
          <w:rFonts w:ascii="Times New Roman;serif" w:hAnsi="Times New Roman;serif"/>
          <w:b/>
          <w:color w:val="000000"/>
          <w:sz w:val="24"/>
        </w:rPr>
        <w:t>WHEREAS</w:t>
      </w:r>
      <w:r>
        <w:rPr>
          <w:rFonts w:ascii="Times New Roman;serif" w:hAnsi="Times New Roman;serif"/>
          <w:b w:val="false"/>
          <w:color w:val="000000"/>
          <w:sz w:val="24"/>
        </w:rPr>
        <w:t>, the parties wish to amend the Agreement to extend its term, pursuant to Section 11(A) and Section 21 of the Agreement and as set forth herein.</w:t>
      </w:r>
    </w:p>
    <w:p>
      <w:pPr>
        <w:pStyle w:val="TextBody"/>
        <w:bidi w:val="0"/>
        <w:spacing w:lineRule="auto" w:line="288" w:before="234" w:after="283"/>
        <w:jc w:val="left"/>
        <w:rPr/>
      </w:pPr>
      <w:r>
        <w:rPr>
          <w:rFonts w:ascii="Times New Roman;serif" w:hAnsi="Times New Roman;serif"/>
          <w:b/>
          <w:color w:val="000000"/>
          <w:sz w:val="24"/>
        </w:rPr>
        <w:t>NOW, THEREFORE</w:t>
      </w:r>
      <w:r>
        <w:rPr>
          <w:rFonts w:ascii="Times New Roman;serif" w:hAnsi="Times New Roman;serif"/>
          <w:b w:val="false"/>
          <w:color w:val="000000"/>
          <w:sz w:val="24"/>
        </w:rPr>
        <w:t>, the parties hereto agree as follows:</w:t>
      </w:r>
    </w:p>
    <w:p>
      <w:pPr>
        <w:pStyle w:val="TextBody"/>
        <w:bidi w:val="0"/>
        <w:spacing w:lineRule="auto" w:line="276" w:before="245" w:after="283"/>
        <w:ind w:left="0" w:right="0" w:hanging="721"/>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DEFINITIONS</w:t>
      </w:r>
      <w:r>
        <w:rPr>
          <w:rFonts w:ascii="Times New Roman;serif" w:hAnsi="Times New Roman;serif"/>
          <w:b w:val="false"/>
          <w:color w:val="000000"/>
          <w:sz w:val="24"/>
        </w:rPr>
        <w:t>. Capitalized terms used herein and not otherwise defined shall have the meanings set forth in the Agreement.</w:t>
      </w:r>
    </w:p>
    <w:p>
      <w:pPr>
        <w:pStyle w:val="TextBody"/>
        <w:bidi w:val="0"/>
        <w:spacing w:lineRule="auto" w:line="288" w:before="244" w:after="283"/>
        <w:ind w:left="0" w:right="0" w:hanging="721"/>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AMENDMENT TO AGREEMENT TERM</w:t>
      </w:r>
      <w:r>
        <w:rPr>
          <w:rFonts w:ascii="Times New Roman;serif" w:hAnsi="Times New Roman;serif"/>
          <w:b w:val="false"/>
          <w:color w:val="000000"/>
          <w:sz w:val="24"/>
        </w:rPr>
        <w:t>. The reference in the first sentence of Section 11(A) to “June 30, 2026” is hereby deleted and replaced with “August 31, 2026”. For clarification, the parties agree that the Agreement will be extended for an additional period, effective upon the expiration of the current Term as set forth in Section 11(A) of the Agreement and continuing through August 31, 2026.</w:t>
      </w:r>
    </w:p>
    <w:p>
      <w:pPr>
        <w:pStyle w:val="TextBody"/>
        <w:bidi w:val="0"/>
        <w:spacing w:lineRule="auto" w:line="288" w:before="238" w:after="283"/>
        <w:ind w:left="0" w:right="0" w:hanging="716"/>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CONTINUING EFFECT OF AGREEMENT</w:t>
      </w:r>
      <w:r>
        <w:rPr>
          <w:rFonts w:ascii="Times New Roman;serif" w:hAnsi="Times New Roman;serif"/>
          <w:b w:val="false"/>
          <w:color w:val="000000"/>
          <w:sz w:val="24"/>
        </w:rPr>
        <w:t>. Except as expressly provided in this Amendment, all terms of the Agreement shall remain unchanged and in full force and effect. After the Amendment Effective Date, every reference in the Agreement to the “Agreement” shall mean the Agreement as amended by this Amendment.</w:t>
      </w:r>
    </w:p>
    <w:p>
      <w:pPr>
        <w:pStyle w:val="TextBody"/>
        <w:bidi w:val="0"/>
        <w:spacing w:lineRule="auto" w:line="280" w:before="240" w:after="283"/>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have caused this Amendment to be executed by duly authorized representatives to be binding and effective as of the Amendment Effective Date.</w:t>
      </w:r>
    </w:p>
    <w:p>
      <w:pPr>
        <w:pStyle w:val="TextBody"/>
        <w:bidi w:val="0"/>
        <w:spacing w:lineRule="auto" w:line="288" w:before="273" w:after="283"/>
        <w:jc w:val="left"/>
        <w:rPr>
          <w:rFonts w:ascii="Times New Roman;serif" w:hAnsi="Times New Roman;serif"/>
          <w:b/>
          <w:color w:val="000000"/>
          <w:sz w:val="24"/>
        </w:rPr>
      </w:pPr>
      <w:r>
        <w:rPr>
          <w:rFonts w:ascii="Times New Roman;serif" w:hAnsi="Times New Roman;serif"/>
          <w:b/>
          <w:color w:val="000000"/>
          <w:sz w:val="24"/>
        </w:rPr>
        <w:t>Stanley R. Frankel, M.D.    Precision BioSciences, Inc.</w:t>
      </w:r>
    </w:p>
    <w:p>
      <w:pPr>
        <w:pStyle w:val="TextBody"/>
        <w:bidi w:val="0"/>
        <w:spacing w:before="274" w:after="283"/>
        <w:jc w:val="left"/>
        <w:rPr/>
      </w:pPr>
      <w:r>
        <w:rPr/>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Sign: /s/ Stanley Frankel        Sign: /s/ Cindy Atwell</w: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Name: Stanley R. Frankel        Name: Cindy Atwell    </w:t>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Date: June 29, 2026    Title: CDBO</w:t>
      </w:r>
    </w:p>
    <w:p>
      <w:pPr>
        <w:pStyle w:val="TextBody"/>
        <w:bidi w:val="0"/>
        <w:spacing w:before="1" w:after="283"/>
        <w:jc w:val="left"/>
        <w:rPr/>
      </w:pPr>
      <w:r>
        <w:rPr/>
      </w:r>
    </w:p>
    <w:p>
      <w:pPr>
        <w:pStyle w:val="TextBody"/>
        <w:bidi w:val="0"/>
        <w:spacing w:lineRule="auto" w:line="288" w:before="1" w:after="283"/>
        <w:jc w:val="left"/>
        <w:rPr>
          <w:color w:val="000000"/>
        </w:rPr>
      </w:pPr>
      <w:r>
        <w:rPr>
          <w:color w:val="000000"/>
        </w:rPr>
        <w:t>    </w:t>
      </w:r>
      <w:r>
        <w:rPr>
          <w:rFonts w:ascii="Times New Roman;serif" w:hAnsi="Times New Roman;serif"/>
          <w:b w:val="false"/>
          <w:color w:val="000000"/>
          <w:sz w:val="24"/>
        </w:rPr>
        <w:t>Date: June 29, 2026    </w:t>
      </w:r>
    </w:p>
    <w:p>
      <w:pPr>
        <w:pStyle w:val="TextBody"/>
        <w:bidi w:val="0"/>
        <w:spacing w:before="2" w:after="283"/>
        <w:jc w:val="left"/>
        <w:rPr/>
      </w:pPr>
      <w:r>
        <w:rPr/>
      </w:r>
    </w:p>
    <w:p>
      <w:pPr>
        <w:pStyle w:val="TextBody"/>
        <w:bidi w:val="0"/>
        <w:spacing w:before="6" w:after="283"/>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Michael Amoroso, certify that:</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quarterly period ended June 30, 2026 of Precision BioSciences, Inc.;</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38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210"/>
        <w:gridCol w:w="1210"/>
        <w:gridCol w:w="172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Amoroso</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Michael Amoroso</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President, Chief Executive Officer and Director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6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Naresh Tanna, certify that:</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quarterly period ended June 30, 2026 of Precision BioSciences, Inc.;</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66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705"/>
        <w:gridCol w:w="705"/>
        <w:gridCol w:w="100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Naresh Tanna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Naresh Tanna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48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2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Precision BioSciences, Inc. (the “Company”) on Form 10-Q for the quarterly period ended June 30, 2026 as filed with the Securities and Exchange Commission on the date hereof (the “Report”), I certify, pursuant to 18 U.S.C. § 1350, as adopted pursuant to § 906 of the Sarbanes-Oxley Act of 2002, that:</w:t>
      </w:r>
    </w:p>
    <w:p>
      <w:pPr>
        <w:pStyle w:val="TextBody"/>
        <w:bidi w:val="0"/>
        <w:spacing w:lineRule="auto" w:line="288" w:before="0" w:after="12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20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638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210"/>
        <w:gridCol w:w="1210"/>
        <w:gridCol w:w="171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20"/>
              </w:rPr>
              <w:t>/s/ Michael Amoroso</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Michael Amoroso</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President, Chief Executive Officer and Director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48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2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Precision BioSciences, Inc. (the “Company”) on Form 10-Q for the quarterly period ended June 30, 2026 as filed with the Securities and Exchange Commission on the date hereof (the “Report”), I certify, pursuant to 18 U.S.C. § 1350, as adopted pursuant to § 906 of the Sarbanes-Oxley Act of 2002, that:</w:t>
      </w:r>
    </w:p>
    <w:p>
      <w:pPr>
        <w:pStyle w:val="TextBody"/>
        <w:bidi w:val="0"/>
        <w:spacing w:lineRule="auto" w:line="288" w:before="0" w:after="12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20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66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705"/>
        <w:gridCol w:w="705"/>
        <w:gridCol w:w="100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Naresh Tanna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Naresh Tanna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57874/000119312519094641/d727819dex31.htm" TargetMode="External"/><Relationship Id="rId3" Type="http://schemas.openxmlformats.org/officeDocument/2006/relationships/hyperlink" Target="https://www.sec.gov/Archives/edgar/data/1357874/000095017024014194/dtil-ex3_1.htm" TargetMode="External"/><Relationship Id="rId4" Type="http://schemas.openxmlformats.org/officeDocument/2006/relationships/hyperlink" Target="https://www.sec.gov/Archives/edgar/data/1357874/000095017023072457/dtil-ex3_1.htm" TargetMode="External"/><Relationship Id="rId5" Type="http://schemas.openxmlformats.org/officeDocument/2006/relationships/hyperlink" Target="https://www.sec.gov/Archives/edgar/data/1357874/000162828026038220/dtil-proposedamendmenttoar.htm" TargetMode="External"/><Relationship Id="rId6" Type="http://schemas.openxmlformats.org/officeDocument/2006/relationships/hyperlink" Target="https://www.sec.gov/Archives/edgar/data/1357874/000162828026043526/a1011stamendmenttoarlsa.htm" TargetMode="External"/><Relationship Id="rId7" Type="http://schemas.openxmlformats.org/officeDocument/2006/relationships/hyperlink" Target="https://www.sec.gov/Archives/edgar/data/1357874/000162828026038220/a2019incentiveawardplaneff.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61379</Words>
  <Characters>345287</Characters>
  <CharactersWithSpaces>405002</CharactersWithSpaces>
  <Paragraphs>2734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