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23, 2026</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60"/>
        <w:jc w:val="center"/>
        <w:rPr>
          <w:rFonts w:ascii="Times New Roman;serif" w:hAnsi="Times New Roman;serif"/>
          <w:b/>
          <w:color w:val="000000"/>
          <w:sz w:val="48"/>
        </w:rPr>
      </w:pPr>
      <w:r>
        <w:rPr>
          <w:rFonts w:ascii="Times New Roman;serif" w:hAnsi="Times New Roman;serif"/>
          <w:b/>
          <w:color w:val="000000"/>
          <w:sz w:val="48"/>
        </w:rPr>
        <w:t>Precision BioSciences, Inc.</w:t>
      </w:r>
    </w:p>
    <w:p>
      <w:pPr>
        <w:pStyle w:val="TextBody"/>
        <w:bidi w:val="0"/>
        <w:spacing w:lineRule="auto" w:line="288" w:before="0" w:after="24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tbl>
      <w:tblPr>
        <w:tblW w:w="5865" w:type="dxa"/>
        <w:jc w:val="left"/>
        <w:tblInd w:w="0" w:type="dxa"/>
        <w:tblLayout w:type="fixed"/>
        <w:tblCellMar>
          <w:top w:w="28" w:type="dxa"/>
          <w:left w:w="28" w:type="dxa"/>
          <w:bottom w:w="28" w:type="dxa"/>
          <w:right w:w="28" w:type="dxa"/>
        </w:tblCellMar>
      </w:tblPr>
      <w:tblGrid>
        <w:gridCol w:w="970"/>
        <w:gridCol w:w="852"/>
        <w:gridCol w:w="863"/>
        <w:gridCol w:w="614"/>
        <w:gridCol w:w="614"/>
        <w:gridCol w:w="617"/>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001-38841</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20-4206017</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302 East Pettigrew St.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Suite A-100</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Durham, North Carolina</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27701</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88" w:before="0" w:after="68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919 314-5512</w:t>
      </w:r>
    </w:p>
    <w:p>
      <w:pPr>
        <w:pStyle w:val="TextBody"/>
        <w:bidi w:val="0"/>
        <w:spacing w:lineRule="auto" w:line="288" w:before="0" w:after="24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8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337" w:type="dxa"/>
        <w:jc w:val="left"/>
        <w:tblInd w:w="0" w:type="dxa"/>
        <w:tblLayout w:type="fixed"/>
        <w:tblCellMar>
          <w:top w:w="28" w:type="dxa"/>
          <w:left w:w="28" w:type="dxa"/>
          <w:bottom w:w="28" w:type="dxa"/>
          <w:right w:w="28" w:type="dxa"/>
        </w:tblCellMar>
      </w:tblPr>
      <w:tblGrid>
        <w:gridCol w:w="1414"/>
        <w:gridCol w:w="1243"/>
        <w:gridCol w:w="1257"/>
        <w:gridCol w:w="109"/>
        <w:gridCol w:w="109"/>
        <w:gridCol w:w="109"/>
        <w:gridCol w:w="314"/>
        <w:gridCol w:w="314"/>
        <w:gridCol w:w="316"/>
        <w:gridCol w:w="109"/>
        <w:gridCol w:w="109"/>
        <w:gridCol w:w="109"/>
        <w:gridCol w:w="1118"/>
        <w:gridCol w:w="1118"/>
        <w:gridCol w:w="1589"/>
      </w:tblGrid>
      <w:tr>
        <w:trPr/>
        <w:tc>
          <w:tcPr>
            <w:tcW w:w="141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$0.000005 per share</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DTIL</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16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4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July 23, 2026, the Board of Directors (the “Board”) of Precision BioSciences, Inc. (the “Company”) approved the appointment of a new Chief Operating Officer, the appointment of a new Chief Financial Officer, and other changes to its executive leadership team. Each of these changes is effective as of August 1, 2026 (the “Effective Date”).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Appointment of Chief Operating Officer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these leadership changes, the Board appointed Alex Kelly, age 60, as Chief Operating Officer of the Company. Mr. Kelly previously has served as the Company’s Chief Financial Officer since May 2021. Mr. Kelly and the Company mutually agreed to Mr. Kelly’s promotion from the role of Chief Financial Officer to Chief Operating Officer, and this transition was not the result of any disagreement with the Company or its Board relating to the Company’s operations, policies or practices or any issues regarding its accounting policies or practices.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Mr. Kelly’s appointment as Chief Operating Officer of the Company, the Compensation Committee of the Board approved an increase to Mr. Kelly’s annual base salary to $510,000 with a target annual bonus equal to 45% of his annual base salary, effective as of the Effective Date. No other changes were made to Mr. Kelly’s existing employment agreement or compensation in connection with his appointment as Chief Operating Officer.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Appointment of Chief Financial Officer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Mr. Kelly’s promotion to Chief Operating Officer, the Board appointed Naresh Tanna, age 45, as Chief Financial Officer of the Company. As Chief Financial Officer, Mr. Tanna will serve as the Company’s principal financial officer.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Chief Financial Officer, Mr. Tanna will oversee the Company’s financial planning and reporting, investor relations, and corporate communications functions, building on his prior leadership as Vice President of Investor Relations and Chief of Staff to the Chief Executive Officer, positions he held since joining the Company in January 2022 and where he oversaw investor relations, strategic projects, commercial strategy, and business intelligence. Mr. Tanna has been an integral member of the Senior Leadership Team helping to drive the Company’s corporate strategy into fruition as it advances its wholly owned in vivo gene editing programs.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Mr. Tanna served as a Global Oncology Marketing Director at Amgen Inc. from January 2020 until joining the Company in January 2022. In addition, Mr. Tanna brings over 20 years of diverse experiences across oncology, infectious diseases, and rare diseases across treatment modalities, having held leadership roles in global oncology marketing and financial planning and analysis at Amgen Inc., AbbVie Inc., Celgene Corporation and Eli Lilly and Company focusing on marketing, strategy, and execution across commercial and development stage products. Earlier in his career, Mr. Tanna held life sciences consulting roles at Trinity Partners and Clarkston Consulting.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Mr. Tanna holds a Master of Business Administration from the IESE Business School and a Bachelor of Science in Biomedical Engineering and Political Science from Rutgers School of Engineering and has earned a Chief Financial Officer certificate from the executive program at The Wharton School of the University of Pennsylvania.</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Mr. Tanna’s appointment as Chief Financial Officer of the Company, the Company will enter into an employment agreement with Mr. Tanna. Under Mr. Tanna’s employment agreement, Mr. Tanna will receive an annual base salary equal to $400,000 with a target annual bonus equal to 40% of his annual base salary (pro-rated for 2026 based on the partial year served).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Mr. Tanna and any other person pursuant to which he was appointed as Chief Financial Officer of the Company.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Mr. Tanna’s employment agreement is qualified in its entirety by reference to the full text of such agreement, which will be filed with the Company’s Quarterly Report on Form 10-Q for the quarter ending September 30,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Other Officer Changes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above changes, and the assignment of all research functions to Cassie Gorsuch, Ph.D., the Company’s Chief Scientific Officer, the Company’s executive officers will now consist of the following: Michael Amoroso, President and Chief Executive Officer, Naresh Tanna, Chief Financial Officer, Alex Kelly, Chief Operating Officer, Cassie Gorsuch,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Chief Scientific Officer, and Dario Scimeca, Chief Legal Officer (effective as of the Effective Date) and Corporate Secretary.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Appointment of Principal Accounting Officer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the Effective Date, Mei Burris, age 40, the Company’s Vice President of Finance, will be designated as and assume the responsibilities of principal accounting officer and Chief Accounting Officer.</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Ms. Burris currently serves as the Company’s Vice President of Finance, a position she has held since November 2024. Ms. Burris first joined the Company in February 2019, and since that time, has held roles of increasing responsibility with the Company including Senior Director of Finance and Corporate Controller, Director of Investor Relations and Finance, and Director of Financial Reporting. As Vice President of Finance and Chief Accounting Officer, Ms. Burris is responsible for the Company’s accounting function, including technical accounting, accounting policy, internal controls over financial reporting, and external financial reporting. Prior to joining the Company, from August 2017 to February 2019, Ms. Burris served as Assistant Controller of Heat Biologics, Inc. (now Scorpius Holdings, Inc.), a publicly traded biotechnology company. From April 2014 to August 2017, Ms. Burris was with Cempra Pharmaceuticals, Inc., a publicly traded pharmaceutical company (now CorMedix Therapeutics, Inc.), where Ms. Burris served as Senior Accountant. Ms. Burris is a Certified Public Accountant and received a Bachelor of Science in Business Administration from West Virginia University.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currently no changes to Ms. Burris’ compensation in connection with her designation as principal accounting officer and Chief Accounting Officer, and there are no arrangements or understandings between Ms. Burris and any other person pursuant to which she was appointed as principal accounting officer and Chief Accounting Officer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27, 2026, the Company issued a press release announcing the changes to its senior leadership team, a copy of which is furnished as Exhibit 99.1 to this Current Report on Form 8-K and incorporated into this Item 7.01 by reference.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99.1, shall not be deemed “filed” for purposes of Section 18 of the Securities Exchange Act of 1934, as amended (the “Exchange Act”), or otherwise subject to the liabilities of that section, nor shall it be deemed to be incorporated by reference into any filing under the Securities Act of 1933, as amended, or the Exchange Act, except as expressly set forth by specific reference in such filing.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This Current Report on Form 8-K contains forward-looking statements within the meaning of the Private Securities Litigation Reform Act of 1995. We intend such forward-looking statements to be covered by the safe harbor provisions for forward-looking statements contained in Section 27A of the Securities Act and Section 21E of the Exchange Act. All statements contained in this Current Report on Form 8-K that do not relate to matters of historical fact should be considered forward-looking statements, including, without limitation, statements regarding the impact of the senior leadership changes. In some cases, you can identify forward-looking statements by terms such as “aim,” “anticipate,” “approach,” “believe,” “contemplate,” “could,” “designed”, “estimate,” “expect,” “goal,” “intend,” “look,” “may,” “mission,” “plan,” “possible,” “potential,” “predict,” “project,” “pursue,” “should,”, “strive”, “target,” “will,” “would,” or the negative thereof and similar words and expressions. Forward-looking statements are based on management’s current expectations, beliefs and assumptions and on information currently available to us. Such statements are neither promises nor guarantees, and involve a number of known and unknown risks, uncertainties and assumptions, and actual results may differ materially from those expressed or implied in the forward-looking statements due to various factors, including the risks identified from time to time in the reports the Company files with the Securities and Exchange Commission (“SEC”), including the Company’s Quarterly Report on Form 10-Q for the quarterly period ended March 31, 2026, as such factors may be updated from time to time in its other filings with the SEC, accessible on the SEC’s website at </w:t>
      </w:r>
      <w:r>
        <w:rPr>
          <w:rFonts w:ascii="Times New Roman;serif" w:hAnsi="Times New Roman;serif"/>
          <w:b w:val="false"/>
          <w:color w:val="212529"/>
          <w:sz w:val="20"/>
        </w:rPr>
        <w:t>www.sec.gov</w:t>
      </w:r>
      <w:r>
        <w:rPr>
          <w:rFonts w:ascii="Times New Roman;serif" w:hAnsi="Times New Roman;serif"/>
          <w:b w:val="false"/>
          <w:color w:val="000000"/>
          <w:sz w:val="20"/>
        </w:rPr>
        <w:t>. The forward-looking statements in this Current Report on Form 8-K speak only as of the date of this Current Report on Form 8-K, and the Company undertakes no obligation to update or revise any of the statements. The Company’s business is subject to substantial risks and uncertainties, including those referenced above. Investors, potential investors, and others should give careful consideration to these risks and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40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617"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936"/>
        <w:gridCol w:w="1936"/>
        <w:gridCol w:w="2772"/>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recisionleadershipchanges.htm">
              <w:r>
                <w:rPr>
                  <w:rStyle w:val="InternetLink"/>
                  <w:rFonts w:ascii="Times New Roman;serif" w:hAnsi="Times New Roman;serif"/>
                  <w:b w:val="false"/>
                  <w:color w:val="0000FF"/>
                  <w:sz w:val="20"/>
                  <w:u w:val="single"/>
                </w:rPr>
                <w:t>Press release of Precision BioSciences, Inc. dated July 27, 2026.</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069"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848"/>
        <w:gridCol w:w="848"/>
        <w:gridCol w:w="119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PRECISION BIOSCIENCES,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27,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Dario Scimeca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Dario Scimeca</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Counsel</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20"/>
        <w:jc w:val="left"/>
        <w:rPr>
          <w:rFonts w:ascii="Arial;sans-serif" w:hAnsi="Arial;sans-serif"/>
          <w:b/>
          <w:color w:val="000000"/>
          <w:sz w:val="26"/>
        </w:rPr>
      </w:pPr>
      <w:r>
        <w:rPr>
          <w:rFonts w:ascii="Arial;sans-serif" w:hAnsi="Arial;sans-serif"/>
          <w:b/>
          <w:color w:val="000000"/>
          <w:sz w:val="26"/>
        </w:rPr>
        <w:t>Precision BioSciences Announces Changes to Senior Leadership Team to Support Advancement of Programs Through Next Set of Clinical Milestones</w:t>
      </w:r>
    </w:p>
    <w:p>
      <w:pPr>
        <w:pStyle w:val="TextBody"/>
        <w:bidi w:val="0"/>
        <w:spacing w:before="0" w:after="240"/>
        <w:jc w:val="center"/>
        <w:rPr/>
      </w:pPr>
      <w:r>
        <w:rPr/>
      </w:r>
    </w:p>
    <w:p>
      <w:pPr>
        <w:pStyle w:val="TextBody"/>
        <w:bidi w:val="0"/>
        <w:spacing w:lineRule="auto" w:line="288" w:before="0" w:after="240"/>
        <w:jc w:val="center"/>
        <w:rPr>
          <w:color w:val="000000"/>
        </w:rPr>
      </w:pPr>
      <w:r>
        <w:rPr>
          <w:color w:val="000000"/>
        </w:rPr>
        <w:t xml:space="preserve">– </w:t>
      </w:r>
      <w:r>
        <w:rPr>
          <w:rFonts w:ascii="Arial;sans-serif" w:hAnsi="Arial;sans-serif"/>
          <w:b w:val="false"/>
          <w:i/>
          <w:color w:val="000000"/>
          <w:sz w:val="20"/>
        </w:rPr>
        <w:t>Leadership updates come as Precision advances its lead programs, PBGENE-HBV for chronic hepatitis B and PBGENE-DMD for Duchenne muscular dystrophy –</w:t>
      </w:r>
    </w:p>
    <w:p>
      <w:pPr>
        <w:pStyle w:val="TextBody"/>
        <w:bidi w:val="0"/>
        <w:spacing w:before="0" w:after="160"/>
        <w:jc w:val="both"/>
        <w:rPr/>
      </w:pPr>
      <w:r>
        <w:rPr/>
      </w:r>
    </w:p>
    <w:p>
      <w:pPr>
        <w:pStyle w:val="TextBody"/>
        <w:bidi w:val="0"/>
        <w:spacing w:lineRule="auto" w:line="300" w:before="0" w:after="160"/>
        <w:jc w:val="both"/>
        <w:rPr/>
      </w:pPr>
      <w:r>
        <w:rPr>
          <w:rFonts w:ascii="Arial;sans-serif" w:hAnsi="Arial;sans-serif"/>
          <w:b/>
          <w:color w:val="000000"/>
          <w:sz w:val="20"/>
        </w:rPr>
        <w:t xml:space="preserve">DURHAM, N.C.--(BUSINESS WIRE)--Jul. 27, 2026-- </w:t>
      </w:r>
      <w:r>
        <w:rPr>
          <w:rFonts w:ascii="Arial;sans-serif" w:hAnsi="Arial;sans-serif"/>
          <w:b w:val="false"/>
          <w:color w:val="000000"/>
          <w:sz w:val="20"/>
        </w:rPr>
        <w:t>Precision BioSciences, Inc. (Nasdaq: DTIL), a clinical stage gene editing company utilizing its novel proprietary ARCUS</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 xml:space="preserve">platform to develop in vivo gene editing therapies for high unmet need diseases, today announced changes to its senior leadership team. Alex Kelly, currently Chief Financial Officer, has been promoted to the newly created role of Chief Operating Officer where he will oversee all key customer-facing functions. Naresh Tanna, currently Vice President of Investor Relations and Chief of Staff to the CEO, has been promoted to Chief Financial Officer where he will oversee corporate finance, reporting and investor relations. These two leadership changes will take effect beginning August 1, 2026. Cindy Atwell, Chief Development Officer, continues to lead clinical development across both of the Company’s clinical stage programs, PBGENE-HBV and PBGENE-DMD. To further support the development of two clinical stage programs, the Company has hired two new physician leaders under Ms. Atwell with proven expertise in infectious diseases and muscular dystrophy. In addition, Cassie Gorsuch, PhD, Chief Scientific Officer, now leads all research functions, including clinical stage translational sciences and next generation programs. </w:t>
      </w:r>
    </w:p>
    <w:p>
      <w:pPr>
        <w:pStyle w:val="TextBody"/>
        <w:bidi w:val="0"/>
        <w:spacing w:lineRule="auto" w:line="300" w:before="0" w:after="160"/>
        <w:jc w:val="both"/>
        <w:rPr>
          <w:color w:val="000000"/>
        </w:rPr>
      </w:pPr>
      <w:r>
        <w:rPr>
          <w:color w:val="000000"/>
        </w:rPr>
        <w:t>“</w:t>
      </w:r>
      <w:r>
        <w:rPr>
          <w:rFonts w:ascii="Arial;sans-serif" w:hAnsi="Arial;sans-serif"/>
          <w:b w:val="false"/>
          <w:color w:val="000000"/>
          <w:sz w:val="20"/>
        </w:rPr>
        <w:t>These leadership changes reflect the strength and depth of the team we have built at Precision and our confidence in the leaders driving operational excellence for our next phase of growth,” said Michael Amoroso, Chief Executive Officer of Precision BioSciences. “As we continue to generate clinical data from the ELIMINATE-B and FUNCTION-DMD studies, Cassie, Cindy, Alex and Naresh are playing a central role in delivering our clinical promise to patients while driving shareholder value.”</w:t>
      </w:r>
    </w:p>
    <w:p>
      <w:pPr>
        <w:pStyle w:val="TextBody"/>
        <w:bidi w:val="0"/>
        <w:spacing w:lineRule="auto" w:line="300" w:before="0" w:after="160"/>
        <w:jc w:val="both"/>
        <w:rPr>
          <w:rFonts w:ascii="Arial;sans-serif" w:hAnsi="Arial;sans-serif"/>
          <w:b w:val="false"/>
          <w:color w:val="000000"/>
          <w:sz w:val="20"/>
        </w:rPr>
      </w:pPr>
      <w:r>
        <w:rPr>
          <w:rFonts w:ascii="Arial;sans-serif" w:hAnsi="Arial;sans-serif"/>
          <w:b w:val="false"/>
          <w:color w:val="000000"/>
          <w:sz w:val="20"/>
        </w:rPr>
        <w:t>Complete biographies for each member of Precision’s leadership team are available at https://precisionbiosciences.com/who-we-are/our-team/#leadership.</w:t>
      </w:r>
    </w:p>
    <w:p>
      <w:pPr>
        <w:pStyle w:val="TextBody"/>
        <w:bidi w:val="0"/>
        <w:spacing w:lineRule="auto" w:line="288" w:before="160" w:after="120"/>
        <w:jc w:val="left"/>
        <w:rPr>
          <w:rFonts w:ascii="Arial;sans-serif" w:hAnsi="Arial;sans-serif"/>
          <w:b/>
          <w:color w:val="000000"/>
          <w:sz w:val="20"/>
        </w:rPr>
      </w:pPr>
      <w:r>
        <w:rPr>
          <w:rFonts w:ascii="Arial;sans-serif" w:hAnsi="Arial;sans-serif"/>
          <w:b/>
          <w:color w:val="000000"/>
          <w:sz w:val="20"/>
        </w:rPr>
        <w:t>About Precision BioSciences, Inc.</w:t>
      </w:r>
    </w:p>
    <w:p>
      <w:pPr>
        <w:pStyle w:val="TextBody"/>
        <w:bidi w:val="0"/>
        <w:spacing w:lineRule="auto" w:line="300" w:before="0" w:after="160"/>
        <w:jc w:val="both"/>
        <w:rPr/>
      </w:pPr>
      <w:r>
        <w:rPr>
          <w:rFonts w:ascii="Arial;sans-serif" w:hAnsi="Arial;sans-serif"/>
          <w:b w:val="false"/>
          <w:color w:val="000000"/>
          <w:sz w:val="20"/>
        </w:rPr>
        <w:t>Precision BioSciences, Inc. is a clinical stage gene editing company dedicated to improving life (DTIL) with its novel and proprietary ARCUS</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genome editing platform that differs from other technologies in the way it cuts, its smaller size, and its simpler structure. These features are intended for ARCUS nucleases to drive more defined therapeutic outcomes. Using ARCUS, the Company’s pipeline is comprised of clinical stage in vivo gene editing candidates designed to deliver lasting cures for the broadest range of genetic and infectious diseases where no adequate treatments exist. For more information about Precision BioSciences, please visit www.precisionbiosciences.com.</w:t>
      </w:r>
    </w:p>
    <w:p>
      <w:pPr>
        <w:pStyle w:val="TextBody"/>
        <w:bidi w:val="0"/>
        <w:spacing w:lineRule="auto" w:line="288" w:before="160" w:after="12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300" w:before="0" w:after="160"/>
        <w:jc w:val="both"/>
        <w:rPr>
          <w:rFonts w:ascii="Arial;sans-serif" w:hAnsi="Arial;sans-serif"/>
          <w:b w:val="false"/>
          <w:color w:val="000000"/>
          <w:sz w:val="20"/>
        </w:rPr>
      </w:pPr>
      <w:r>
        <w:rPr>
          <w:rFonts w:ascii="Arial;sans-serif" w:hAnsi="Arial;sans-serif"/>
          <w:b w:val="false"/>
          <w:color w:val="000000"/>
          <w:sz w:val="20"/>
        </w:rPr>
        <w:t xml:space="preserve">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regarding the Company’s leadership transitions, the anticipated roles and responsibilities of its executives, the advancement of its lead programs toward future clinical milestones, and its external engagement efforts. These forward-looking statements are based on management’s current expectations and are subject to risks and uncertainties that could cause actual results to differ materially from those expressed or implied. Factors that could cause actual results to differ are described in the Company’s filings with the U.S. Securities and Exchange Commission. Any forward-looking statements speak only as </w:t>
      </w:r>
    </w:p>
    <w:p>
      <w:pPr>
        <w:pStyle w:val="TextBody"/>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rFonts w:ascii="Arial;sans-serif" w:hAnsi="Arial;sans-serif"/>
          <w:b w:val="false"/>
          <w:color w:val="000000"/>
          <w:sz w:val="20"/>
        </w:rPr>
      </w:pPr>
      <w:r>
        <w:rPr>
          <w:rFonts w:ascii="Arial;sans-serif" w:hAnsi="Arial;sans-serif"/>
          <w:b w:val="false"/>
          <w:color w:val="000000"/>
          <w:sz w:val="20"/>
        </w:rPr>
        <w:t>of the date of this press release, and the Company undertakes no obligation to update or revise any forward-looking statements, except as required by law.</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Investor and Media 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Naresh Tanna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naresh.tanna@precisionbiosciences.com</w:t>
      </w:r>
    </w:p>
    <w:p>
      <w:pPr>
        <w:pStyle w:val="TextBody"/>
        <w:bidi w:val="0"/>
        <w:spacing w:before="2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2394</Words>
  <Characters>14088</Characters>
  <CharactersWithSpaces>16391</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