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 xml:space="preserve">As filed with the Securities and Exchange Commission on August 7, 2026 </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Registration No. 333-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S-8</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REGISTRATION STATEMENT UNDER THE SECURITIES ACT OF 1933 </w:t>
      </w:r>
    </w:p>
    <w:p>
      <w:pPr>
        <w:pStyle w:val="TextBody"/>
        <w:bidi w:val="0"/>
        <w:spacing w:lineRule="auto" w:line="288" w:before="240" w:after="283"/>
        <w:jc w:val="center"/>
        <w:rPr>
          <w:rFonts w:ascii="Times New Roman;serif" w:hAnsi="Times New Roman;serif"/>
          <w:b/>
          <w:color w:val="000000"/>
          <w:sz w:val="44"/>
        </w:rPr>
      </w:pPr>
      <w:r>
        <w:rPr>
          <w:rFonts w:ascii="Times New Roman;serif" w:hAnsi="Times New Roman;serif"/>
          <w:b/>
          <w:color w:val="000000"/>
          <w:sz w:val="44"/>
        </w:rPr>
        <w:t xml:space="preserve">Precision BioSciences,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20-4206017</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302 East Pettigrew Street, Suite A-100</w:t>
            </w:r>
          </w:p>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Durham,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27701</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Precision BioSciences, Inc. 2019 Incentive Award Plan, as Amended and Restated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Precision BioSciences, Inc. 2019 Employee Stock Purchase Plan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(Full title of the plans)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Dario Scimeca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Legal Officer &amp; Corporate Secretary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Precision BioSciences,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302 East Pettigrew Street, Suite A-100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Durham, North Carolina 27701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(Name and address of agent for service)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(919) 314-5512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(Telephone number, including area code, of agent for service)</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Copy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Peter N. Handrinos, Esq.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Nathan Ajiashvili, Esq.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Latham &amp; Watkins LLP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200 Clarendon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Boston, Massachusetts 02116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(617) 948-6000</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w:t>
      </w:r>
    </w:p>
    <w:p>
      <w:pPr>
        <w:pStyle w:val="TextBody"/>
        <w:bidi w:val="0"/>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0"/>
        </w:rPr>
        <w:t xml:space="preserve">accelerated filer,” “smaller reporting company,” and “emerging growth company” in Rule 12b-2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80808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bl>
      <w:tblPr>
        <w:tblW w:w="5909" w:type="dxa"/>
        <w:jc w:val="left"/>
        <w:tblInd w:w="0" w:type="dxa"/>
        <w:tblLayout w:type="fixed"/>
        <w:tblCellMar>
          <w:top w:w="28" w:type="dxa"/>
          <w:left w:w="28" w:type="dxa"/>
          <w:bottom w:w="28" w:type="dxa"/>
          <w:right w:w="28" w:type="dxa"/>
        </w:tblCellMar>
      </w:tblPr>
      <w:tblGrid>
        <w:gridCol w:w="696"/>
        <w:gridCol w:w="611"/>
        <w:gridCol w:w="613"/>
        <w:gridCol w:w="109"/>
        <w:gridCol w:w="109"/>
        <w:gridCol w:w="109"/>
        <w:gridCol w:w="109"/>
        <w:gridCol w:w="109"/>
        <w:gridCol w:w="109"/>
        <w:gridCol w:w="109"/>
        <w:gridCol w:w="109"/>
        <w:gridCol w:w="109"/>
        <w:gridCol w:w="768"/>
        <w:gridCol w:w="768"/>
        <w:gridCol w:w="773"/>
        <w:gridCol w:w="109"/>
        <w:gridCol w:w="109"/>
        <w:gridCol w:w="109"/>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color w:val="000000"/>
              </w:rPr>
            </w:pPr>
            <w:r>
              <w:rPr>
                <w:color w:val="000000"/>
              </w:rPr>
              <w:t>☐</w:t>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color w:val="000000"/>
              </w:rPr>
            </w:pPr>
            <w:r>
              <w:rPr>
                <w:color w:val="000000"/>
              </w:rPr>
              <w:t>☒</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color w:val="000000"/>
              </w:rPr>
            </w:pPr>
            <w:r>
              <w:rPr>
                <w:color w:val="00000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80808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0"/>
        <w:jc w:val="both"/>
        <w:rPr/>
      </w:pPr>
      <w:r>
        <w:rPr>
          <w:rFonts w:ascii="Times New Roman;serif" w:hAnsi="Times New Roman;serif"/>
          <w:b w:val="false"/>
          <w:color w:val="000000"/>
          <w:sz w:val="20"/>
        </w:rPr>
        <w:t>This Registration Statement on Form S-8 (the “Registration Statement”) is being filed with the Securities and Exchange Commission (the “Commission”) for the purpose of registering an additional 4,900,000 shares of the Registrant’s common stock, $0.000005 par value per share (the “Common Stock”), consisting of (i) 4,400,000 shares of Common Stock under the Precision BioSciences, Inc. 2019 Incentive Award Plan, as Amended and Restated (the “2019 Plan”), which includes 3,800,000 shares of Common Stock available for issuance under the 2019 Plan and an additional 600,000 shares of Common Stock that may become issuable under the 2019 Plan pursuant to its terms, and (ii) 500,000 shares of Common Stock that became or may become issuable under the Precision BioSciences, Inc. 2019 Employee Stock Purchase Plan (the “ESPP”). The additional shares registered pursuant to the 2019 Plan and the ESPP are of the same class as other securities relating to the 2019 Plan and the ESPP for which the Registration Statements on Form S-8 (</w:t>
      </w:r>
      <w:hyperlink r:id="rId2">
        <w:r>
          <w:rPr>
            <w:rStyle w:val="InternetLink"/>
            <w:rFonts w:ascii="Times New Roman;serif" w:hAnsi="Times New Roman;serif"/>
            <w:b w:val="false"/>
            <w:color w:val="0000FF"/>
            <w:sz w:val="20"/>
            <w:u w:val="single"/>
          </w:rPr>
          <w:t>File Nos. 333-230671</w:t>
        </w:r>
      </w:hyperlink>
      <w:r>
        <w:rPr>
          <w:rFonts w:ascii="Times New Roman;serif" w:hAnsi="Times New Roman;serif"/>
          <w:b w:val="false"/>
          <w:color w:val="000000"/>
          <w:sz w:val="20"/>
        </w:rPr>
        <w:t xml:space="preserve">, </w:t>
      </w:r>
      <w:hyperlink r:id="rId3">
        <w:r>
          <w:rPr>
            <w:rStyle w:val="InternetLink"/>
            <w:rFonts w:ascii="Times New Roman;serif" w:hAnsi="Times New Roman;serif"/>
            <w:b w:val="false"/>
            <w:color w:val="0000FF"/>
            <w:sz w:val="20"/>
            <w:u w:val="single"/>
          </w:rPr>
          <w:t>333-259369</w:t>
        </w:r>
      </w:hyperlink>
      <w:r>
        <w:rPr>
          <w:rFonts w:ascii="Times New Roman;serif" w:hAnsi="Times New Roman;serif"/>
          <w:b w:val="false"/>
          <w:color w:val="000000"/>
          <w:sz w:val="20"/>
        </w:rPr>
        <w:t xml:space="preserve">, </w:t>
      </w:r>
      <w:hyperlink r:id="rId4">
        <w:r>
          <w:rPr>
            <w:rStyle w:val="InternetLink"/>
            <w:rFonts w:ascii="Times New Roman;serif" w:hAnsi="Times New Roman;serif"/>
            <w:b w:val="false"/>
            <w:color w:val="0000FF"/>
            <w:sz w:val="20"/>
            <w:u w:val="single"/>
          </w:rPr>
          <w:t>333-267079</w:t>
        </w:r>
      </w:hyperlink>
      <w:r>
        <w:rPr>
          <w:rFonts w:ascii="Times New Roman;serif" w:hAnsi="Times New Roman;serif"/>
          <w:b w:val="false"/>
          <w:color w:val="000000"/>
          <w:sz w:val="20"/>
        </w:rPr>
        <w:t xml:space="preserve">, </w:t>
      </w:r>
      <w:hyperlink r:id="rId5">
        <w:r>
          <w:rPr>
            <w:rStyle w:val="InternetLink"/>
            <w:rFonts w:ascii="Times New Roman;serif" w:hAnsi="Times New Roman;serif"/>
            <w:b w:val="false"/>
            <w:color w:val="0000FF"/>
            <w:sz w:val="20"/>
            <w:u w:val="single"/>
          </w:rPr>
          <w:t>333-280618</w:t>
        </w:r>
      </w:hyperlink>
      <w:r>
        <w:rPr>
          <w:rFonts w:ascii="Times New Roman;serif" w:hAnsi="Times New Roman;serif"/>
          <w:b w:val="false"/>
          <w:color w:val="000000"/>
          <w:sz w:val="20"/>
        </w:rPr>
        <w:t xml:space="preserve">, and </w:t>
      </w:r>
      <w:hyperlink r:id="rId6">
        <w:r>
          <w:rPr>
            <w:rStyle w:val="InternetLink"/>
            <w:rFonts w:ascii="Times New Roman;serif" w:hAnsi="Times New Roman;serif"/>
            <w:b w:val="false"/>
            <w:color w:val="0000FF"/>
            <w:sz w:val="20"/>
            <w:u w:val="single"/>
          </w:rPr>
          <w:t>333-292477</w:t>
        </w:r>
      </w:hyperlink>
      <w:r>
        <w:rPr>
          <w:rFonts w:ascii="Times New Roman;serif" w:hAnsi="Times New Roman;serif"/>
          <w:b w:val="false"/>
          <w:color w:val="000000"/>
          <w:sz w:val="20"/>
        </w:rPr>
        <w:t>) filed on April 1, 2019, September 7, 2021, August 26, 2022, July 1, 2024, and December 30, 2025 respectively, are effective.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Instruction E of Form S-8, the contents of the above referenced prior registration statements are incorporated by reference herein to the extent not modified or superseded hereby or by any subsequently filed document, which is incorporated by reference herein, except for Item 8, which is being updated by this Registration Statement.</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8. Exhibits. </w:t>
      </w:r>
    </w:p>
    <w:tbl>
      <w:tblPr>
        <w:tblW w:w="10205" w:type="dxa"/>
        <w:jc w:val="left"/>
        <w:tblInd w:w="0" w:type="dxa"/>
        <w:tblLayout w:type="fixed"/>
        <w:tblCellMar>
          <w:top w:w="28" w:type="dxa"/>
          <w:left w:w="28" w:type="dxa"/>
          <w:bottom w:w="28" w:type="dxa"/>
          <w:right w:w="28" w:type="dxa"/>
        </w:tblCellMar>
      </w:tblPr>
      <w:tblGrid>
        <w:gridCol w:w="365"/>
        <w:gridCol w:w="322"/>
        <w:gridCol w:w="323"/>
        <w:gridCol w:w="1900"/>
        <w:gridCol w:w="1857"/>
        <w:gridCol w:w="1820"/>
        <w:gridCol w:w="171"/>
        <w:gridCol w:w="171"/>
        <w:gridCol w:w="170"/>
        <w:gridCol w:w="284"/>
        <w:gridCol w:w="284"/>
        <w:gridCol w:w="263"/>
        <w:gridCol w:w="210"/>
        <w:gridCol w:w="210"/>
        <w:gridCol w:w="211"/>
        <w:gridCol w:w="271"/>
        <w:gridCol w:w="271"/>
        <w:gridCol w:w="272"/>
        <w:gridCol w:w="242"/>
        <w:gridCol w:w="242"/>
        <w:gridCol w:w="346"/>
      </w:tblGrid>
      <w:tr>
        <w:trPr/>
        <w:tc>
          <w:tcPr>
            <w:tcW w:w="36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5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51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8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6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8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Date</w:t>
            </w:r>
          </w:p>
        </w:tc>
        <w:tc>
          <w:tcPr>
            <w:tcW w:w="8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Herewith</w:t>
            </w:r>
          </w:p>
        </w:tc>
      </w:tr>
      <w:tr>
        <w:trPr/>
        <w:tc>
          <w:tcPr>
            <w:tcW w:w="1010" w:type="dxa"/>
            <w:gridSpan w:val="3"/>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55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EE"/>
                  <w:sz w:val="20"/>
                  <w:u w:val="single"/>
                </w:rPr>
                <w:t>Amended and Restated Certificate of Incorporation of Precision BioSciences, Inc.</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001-38841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04/01/2019</w:t>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55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Certificate of Amendment to the Amended and Restated Certificate of Incorporation of Precision BioSciences, Inc.</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001-38841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02/13/2024</w:t>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10"/>
        <w:gridCol w:w="185"/>
        <w:gridCol w:w="191"/>
        <w:gridCol w:w="2111"/>
        <w:gridCol w:w="2111"/>
        <w:gridCol w:w="2117"/>
        <w:gridCol w:w="169"/>
        <w:gridCol w:w="168"/>
        <w:gridCol w:w="160"/>
        <w:gridCol w:w="349"/>
        <w:gridCol w:w="310"/>
        <w:gridCol w:w="311"/>
        <w:gridCol w:w="188"/>
        <w:gridCol w:w="188"/>
        <w:gridCol w:w="195"/>
        <w:gridCol w:w="287"/>
        <w:gridCol w:w="287"/>
        <w:gridCol w:w="289"/>
        <w:gridCol w:w="109"/>
        <w:gridCol w:w="109"/>
        <w:gridCol w:w="161"/>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63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Certificate of Amendment to the Amended and Restated Certificate of Incorporation of Precision BioSciences, Inc.</w:t>
              </w:r>
            </w:hyperlink>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001-38841</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05/26/2026</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63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EE"/>
                  <w:sz w:val="20"/>
                  <w:u w:val="single"/>
                </w:rPr>
                <w:t>Amended and Restated Bylaws of Precision BioSciences, Inc.</w:t>
              </w:r>
            </w:hyperlink>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001-38841</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12/22/2023</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63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EE"/>
                  <w:sz w:val="20"/>
                  <w:u w:val="single"/>
                </w:rPr>
                <w:t>Specimen Common Stock Certificate</w:t>
              </w:r>
            </w:hyperlink>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333-230034</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03/18/2019</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63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dtil-formsx8xex51opinion20.htm">
              <w:r>
                <w:rPr>
                  <w:rStyle w:val="InternetLink"/>
                  <w:rFonts w:ascii="Times New Roman;serif" w:hAnsi="Times New Roman;serif"/>
                  <w:b w:val="false"/>
                  <w:color w:val="0000FF"/>
                  <w:sz w:val="20"/>
                  <w:u w:val="single"/>
                </w:rPr>
                <w:t>Opinion of Latham &amp; Watkins LLP</w:t>
              </w:r>
            </w:hyperlink>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63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8consentxdeloitte.htm">
              <w:r>
                <w:rPr>
                  <w:rStyle w:val="InternetLink"/>
                  <w:rFonts w:ascii="Times New Roman;serif" w:hAnsi="Times New Roman;serif"/>
                  <w:b w:val="false"/>
                  <w:color w:val="0000FF"/>
                  <w:sz w:val="20"/>
                  <w:u w:val="single"/>
                </w:rPr>
                <w:t>Consent of Deloitte &amp; Touche LLP</w:t>
              </w:r>
            </w:hyperlink>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63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dtil-formsx8xex51opinion20.htm">
              <w:r>
                <w:rPr>
                  <w:rStyle w:val="InternetLink"/>
                  <w:rFonts w:ascii="Times New Roman;serif" w:hAnsi="Times New Roman;serif"/>
                  <w:b w:val="false"/>
                  <w:color w:val="0000FF"/>
                  <w:sz w:val="20"/>
                  <w:u w:val="single"/>
                </w:rPr>
                <w:t>Consent of Latham &amp; Watkins LLP (included as part of Exhibit 5.1)</w:t>
              </w:r>
            </w:hyperlink>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63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d04d76eb964d69bed11d06965340f2_1">
              <w:r>
                <w:rPr>
                  <w:rStyle w:val="InternetLink"/>
                  <w:rFonts w:ascii="Times New Roman;serif" w:hAnsi="Times New Roman;serif"/>
                  <w:b w:val="false"/>
                  <w:color w:val="0000EE"/>
                  <w:sz w:val="20"/>
                  <w:u w:val="single"/>
                </w:rPr>
                <w:t>Power of Attorney (included on signature page)</w:t>
              </w:r>
            </w:hyperlink>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3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2019 Incentive Award Plan, as Amended and Restated, and forms of award agreements thereunder</w:t>
              </w:r>
            </w:hyperlink>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001-38841</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05/26/2026</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63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80"/>
                  <w:sz w:val="20"/>
                  <w:u w:val="single"/>
                </w:rPr>
                <w:t>2</w:t>
              </w:r>
            </w:hyperlink>
            <w:hyperlink r:id="rId14">
              <w:r>
                <w:rPr>
                  <w:rStyle w:val="InternetLink"/>
                  <w:rFonts w:ascii="Times New Roman;serif" w:hAnsi="Times New Roman;serif"/>
                  <w:b w:val="false"/>
                  <w:color w:val="000080"/>
                  <w:sz w:val="20"/>
                  <w:u w:val="single"/>
                </w:rPr>
                <w:t>019 Employee Stock Purchase Plan</w:t>
              </w:r>
            </w:hyperlink>
          </w:p>
        </w:tc>
        <w:tc>
          <w:tcPr>
            <w:tcW w:w="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333-230034</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03/18/2019</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107.1</w:t>
            </w:r>
          </w:p>
        </w:tc>
        <w:tc>
          <w:tcPr>
            <w:tcW w:w="63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dtilfilingfees08062026.htm">
              <w:r>
                <w:rPr>
                  <w:rStyle w:val="InternetLink"/>
                  <w:rFonts w:ascii="Times New Roman;serif" w:hAnsi="Times New Roman;serif"/>
                  <w:b w:val="false"/>
                  <w:color w:val="0000FF"/>
                  <w:sz w:val="20"/>
                  <w:u w:val="single"/>
                </w:rPr>
                <w:t>Filing Fee Table</w:t>
              </w:r>
            </w:hyperlink>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80808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Durham, State of North Carolina, on this 7th day of August, 2026. </w:t>
      </w:r>
    </w:p>
    <w:tbl>
      <w:tblPr>
        <w:tblW w:w="5414" w:type="dxa"/>
        <w:jc w:val="left"/>
        <w:tblInd w:w="0" w:type="dxa"/>
        <w:tblLayout w:type="fixed"/>
        <w:tblCellMar>
          <w:top w:w="28" w:type="dxa"/>
          <w:left w:w="28" w:type="dxa"/>
          <w:bottom w:w="28" w:type="dxa"/>
          <w:right w:w="28" w:type="dxa"/>
        </w:tblCellMar>
      </w:tblPr>
      <w:tblGrid>
        <w:gridCol w:w="345"/>
        <w:gridCol w:w="303"/>
        <w:gridCol w:w="303"/>
        <w:gridCol w:w="303"/>
        <w:gridCol w:w="303"/>
        <w:gridCol w:w="303"/>
        <w:gridCol w:w="1032"/>
        <w:gridCol w:w="1032"/>
        <w:gridCol w:w="1490"/>
      </w:tblGrid>
      <w:tr>
        <w:trPr/>
        <w:tc>
          <w:tcPr>
            <w:tcW w:w="3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PRECISION BIOSCIENCES, INC.</w:t>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Dario Scimeca</w:t>
            </w:r>
          </w:p>
        </w:tc>
      </w:tr>
      <w:tr>
        <w:trPr/>
        <w:tc>
          <w:tcPr>
            <w:tcW w:w="951" w:type="dxa"/>
            <w:gridSpan w:val="3"/>
            <w:tcBorders>
              <w:top w:val="single" w:sz="6"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Dario Scimeca</w:t>
            </w:r>
          </w:p>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Chief Legal Officer &amp; Corporate Secretary</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KNOW ALL MEN BY THESE PRESENTS that each individual whose signature appears below constitutes and appoints Michael Amoroso, John Alexander Kelly, and Dario Scimeca, and each of them, his true and lawful attorneys-in-fact and agents with full power of substitution and resubstitution, for him and in his name, place and stead, in any and all capacities, to sign any and all amendments (including post-effective amendments) to this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Registration Statement, and to file the same, with all exhibits thereto, and all documents in connection therewith, with the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substitutes, may lawfully do or cause to be done by virtue hereof.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as amended, this Registration Statement has been signed by the following persons in the capacities and on the dates indicated. </w:t>
      </w:r>
    </w:p>
    <w:tbl>
      <w:tblPr>
        <w:tblW w:w="8826" w:type="dxa"/>
        <w:jc w:val="left"/>
        <w:tblInd w:w="0" w:type="dxa"/>
        <w:tblLayout w:type="fixed"/>
        <w:tblCellMar>
          <w:top w:w="28" w:type="dxa"/>
          <w:left w:w="28" w:type="dxa"/>
          <w:bottom w:w="28" w:type="dxa"/>
          <w:right w:w="28" w:type="dxa"/>
        </w:tblCellMar>
      </w:tblPr>
      <w:tblGrid>
        <w:gridCol w:w="779"/>
        <w:gridCol w:w="686"/>
        <w:gridCol w:w="694"/>
        <w:gridCol w:w="1533"/>
        <w:gridCol w:w="1533"/>
        <w:gridCol w:w="1553"/>
        <w:gridCol w:w="109"/>
        <w:gridCol w:w="109"/>
        <w:gridCol w:w="109"/>
        <w:gridCol w:w="449"/>
        <w:gridCol w:w="449"/>
        <w:gridCol w:w="451"/>
        <w:gridCol w:w="109"/>
        <w:gridCol w:w="109"/>
        <w:gridCol w:w="154"/>
      </w:tblGrid>
      <w:tr>
        <w:trPr/>
        <w:tc>
          <w:tcPr>
            <w:tcW w:w="77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bottom w:val="single" w:sz="8" w:space="0" w:color="FFFFFF"/>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2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Michael Amoroso</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Michael Amoroso</w:t>
            </w:r>
          </w:p>
        </w:tc>
        <w:tc>
          <w:tcPr>
            <w:tcW w:w="46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and Director</w:t>
            </w:r>
          </w:p>
          <w:p>
            <w:pPr>
              <w:pStyle w:val="TableContents"/>
              <w:bidi w:val="0"/>
              <w:spacing w:lineRule="auto" w:line="288" w:before="0" w:after="2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Naresh Tanna</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Naresh Tanna</w:t>
            </w:r>
          </w:p>
        </w:tc>
        <w:tc>
          <w:tcPr>
            <w:tcW w:w="46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2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Mei Burris</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Mei Burris</w:t>
            </w:r>
          </w:p>
        </w:tc>
        <w:tc>
          <w:tcPr>
            <w:tcW w:w="46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of Finance and Chief Accounting Officer</w:t>
            </w:r>
          </w:p>
          <w:p>
            <w:pPr>
              <w:pStyle w:val="TableContents"/>
              <w:bidi w:val="0"/>
              <w:spacing w:lineRule="auto" w:line="288" w:before="0" w:after="20"/>
              <w:jc w:val="left"/>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Melinda Brown</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Melinda Brown</w:t>
            </w:r>
          </w:p>
        </w:tc>
        <w:tc>
          <w:tcPr>
            <w:tcW w:w="4619" w:type="dxa"/>
            <w:gridSpan w:val="3"/>
            <w:tcBorders>
              <w:top w:val="single" w:sz="6"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Kevin J. Buehler</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Kevin J. Buehler</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Stanley R. Frankel</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Stanley R. Frankel, M.D. </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Geno Germano</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Geno Germano</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Shari Lisa Piré</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Shari Lisa Piré</w:t>
            </w:r>
          </w:p>
        </w:tc>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bookmarkStart w:id="0" w:name="dtilfilingfees08062026.htm"/>
      <w:bookmarkStart w:id="1" w:name="ksdtilfilingfees08062026"/>
      <w:bookmarkStart w:id="2" w:name="dtilfilingfees08062026.htm"/>
      <w:bookmarkStart w:id="3" w:name="ksdtilfilingfees08062026"/>
      <w:bookmarkEnd w:id="2"/>
      <w:bookmarkEnd w:id="3"/>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920" w:type="dxa"/>
        <w:jc w:val="left"/>
        <w:tblInd w:w="0" w:type="dxa"/>
        <w:tblLayout w:type="fixed"/>
        <w:tblCellMar>
          <w:top w:w="28" w:type="dxa"/>
          <w:left w:w="28" w:type="dxa"/>
          <w:bottom w:w="28" w:type="dxa"/>
          <w:right w:w="28" w:type="dxa"/>
        </w:tblCellMar>
      </w:tblPr>
      <w:tblGrid>
        <w:gridCol w:w="3766"/>
        <w:gridCol w:w="154"/>
      </w:tblGrid>
      <w:tr>
        <w:trPr/>
        <w:tc>
          <w:tcPr>
            <w:tcW w:w="392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76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766" w:type="dxa"/>
            <w:tcBorders/>
            <w:vAlign w:val="center"/>
          </w:tcPr>
          <w:p>
            <w:pPr>
              <w:pStyle w:val="TableContents"/>
              <w:bidi w:val="0"/>
              <w:spacing w:before="0" w:after="283"/>
              <w:jc w:val="left"/>
              <w:rPr>
                <w:b/>
              </w:rPr>
            </w:pPr>
            <w:r>
              <w:rPr>
                <w:b/>
              </w:rPr>
              <w:t xml:space="preserve">PRECISION BIOSCIENCES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0"/>
        <w:gridCol w:w="1148"/>
        <w:gridCol w:w="1282"/>
        <w:gridCol w:w="1192"/>
        <w:gridCol w:w="1178"/>
        <w:gridCol w:w="1679"/>
        <w:gridCol w:w="1126"/>
        <w:gridCol w:w="1409"/>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0"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48"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2"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78"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79"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0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0" w:type="dxa"/>
            <w:tcBorders/>
            <w:shd w:fill="E7E7E2" w:val="clear"/>
            <w:vAlign w:val="center"/>
          </w:tcPr>
          <w:p>
            <w:pPr>
              <w:pStyle w:val="TableContents"/>
              <w:bidi w:val="0"/>
              <w:spacing w:before="0" w:after="283"/>
              <w:jc w:val="left"/>
              <w:rPr/>
            </w:pPr>
            <w:r>
              <w:rPr/>
              <w:t xml:space="preserve">Equity </w:t>
            </w:r>
          </w:p>
        </w:tc>
        <w:tc>
          <w:tcPr>
            <w:tcW w:w="1148" w:type="dxa"/>
            <w:tcBorders/>
            <w:shd w:fill="E7E7E2" w:val="clear"/>
            <w:vAlign w:val="center"/>
          </w:tcPr>
          <w:p>
            <w:pPr>
              <w:pStyle w:val="TableContents"/>
              <w:bidi w:val="0"/>
              <w:spacing w:before="0" w:after="283"/>
              <w:jc w:val="left"/>
              <w:rPr/>
            </w:pPr>
            <w:r>
              <w:rPr/>
              <w:t xml:space="preserve">Common Stock, par value $0.000005 per share </w:t>
            </w:r>
          </w:p>
        </w:tc>
        <w:tc>
          <w:tcPr>
            <w:tcW w:w="1282" w:type="dxa"/>
            <w:tcBorders/>
            <w:shd w:fill="E7E7E2" w:val="clear"/>
            <w:vAlign w:val="center"/>
          </w:tcPr>
          <w:p>
            <w:pPr>
              <w:pStyle w:val="TableContents"/>
              <w:bidi w:val="0"/>
              <w:spacing w:before="0" w:after="283"/>
              <w:jc w:val="center"/>
              <w:rPr/>
            </w:pPr>
            <w:r>
              <w:rPr/>
              <w:t xml:space="preserve">Other </w:t>
            </w:r>
          </w:p>
        </w:tc>
        <w:tc>
          <w:tcPr>
            <w:tcW w:w="1192" w:type="dxa"/>
            <w:tcBorders/>
            <w:shd w:fill="E7E7E2" w:val="clear"/>
            <w:vAlign w:val="center"/>
          </w:tcPr>
          <w:p>
            <w:pPr>
              <w:pStyle w:val="TableContents"/>
              <w:bidi w:val="0"/>
              <w:spacing w:before="0" w:after="283"/>
              <w:jc w:val="right"/>
              <w:rPr/>
            </w:pPr>
            <w:r>
              <w:rPr/>
              <w:t xml:space="preserve">4,400,000 </w:t>
            </w:r>
          </w:p>
        </w:tc>
        <w:tc>
          <w:tcPr>
            <w:tcW w:w="1178" w:type="dxa"/>
            <w:tcBorders/>
            <w:shd w:fill="E7E7E2" w:val="clear"/>
            <w:vAlign w:val="center"/>
          </w:tcPr>
          <w:p>
            <w:pPr>
              <w:pStyle w:val="TableContents"/>
              <w:bidi w:val="0"/>
              <w:spacing w:before="0" w:after="283"/>
              <w:jc w:val="right"/>
              <w:rPr/>
            </w:pPr>
            <w:r>
              <w:rPr/>
              <w:t xml:space="preserve">$ 6.99 </w:t>
            </w:r>
          </w:p>
        </w:tc>
        <w:tc>
          <w:tcPr>
            <w:tcW w:w="1679" w:type="dxa"/>
            <w:tcBorders/>
            <w:shd w:fill="E7E7E2" w:val="clear"/>
            <w:vAlign w:val="center"/>
          </w:tcPr>
          <w:p>
            <w:pPr>
              <w:pStyle w:val="TableContents"/>
              <w:bidi w:val="0"/>
              <w:spacing w:before="0" w:after="283"/>
              <w:jc w:val="right"/>
              <w:rPr/>
            </w:pPr>
            <w:r>
              <w:rPr/>
              <w:t xml:space="preserve">$ 30,756,000.00 </w:t>
            </w:r>
          </w:p>
        </w:tc>
        <w:tc>
          <w:tcPr>
            <w:tcW w:w="1126" w:type="dxa"/>
            <w:tcBorders/>
            <w:shd w:fill="E7E7E2" w:val="clear"/>
            <w:vAlign w:val="center"/>
          </w:tcPr>
          <w:p>
            <w:pPr>
              <w:pStyle w:val="TableContents"/>
              <w:bidi w:val="0"/>
              <w:spacing w:before="0" w:after="283"/>
              <w:jc w:val="right"/>
              <w:rPr/>
            </w:pPr>
            <w:r>
              <w:rPr/>
              <w:t xml:space="preserve">0.0001381 </w:t>
            </w:r>
          </w:p>
        </w:tc>
        <w:tc>
          <w:tcPr>
            <w:tcW w:w="1409" w:type="dxa"/>
            <w:tcBorders/>
            <w:shd w:fill="E7E7E2" w:val="clear"/>
            <w:vAlign w:val="center"/>
          </w:tcPr>
          <w:p>
            <w:pPr>
              <w:pStyle w:val="TableContents"/>
              <w:bidi w:val="0"/>
              <w:spacing w:before="0" w:after="283"/>
              <w:jc w:val="right"/>
              <w:rPr/>
            </w:pPr>
            <w:r>
              <w:rPr/>
              <w:t xml:space="preserve">$ 4,247.40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50" w:type="dxa"/>
            <w:tcBorders/>
            <w:shd w:fill="E7E7E2" w:val="clear"/>
            <w:vAlign w:val="center"/>
          </w:tcPr>
          <w:p>
            <w:pPr>
              <w:pStyle w:val="TableContents"/>
              <w:bidi w:val="0"/>
              <w:spacing w:before="0" w:after="283"/>
              <w:jc w:val="left"/>
              <w:rPr/>
            </w:pPr>
            <w:r>
              <w:rPr/>
              <w:t xml:space="preserve">Equity </w:t>
            </w:r>
          </w:p>
        </w:tc>
        <w:tc>
          <w:tcPr>
            <w:tcW w:w="1148" w:type="dxa"/>
            <w:tcBorders/>
            <w:shd w:fill="E7E7E2" w:val="clear"/>
            <w:vAlign w:val="center"/>
          </w:tcPr>
          <w:p>
            <w:pPr>
              <w:pStyle w:val="TableContents"/>
              <w:bidi w:val="0"/>
              <w:spacing w:before="0" w:after="283"/>
              <w:jc w:val="left"/>
              <w:rPr/>
            </w:pPr>
            <w:r>
              <w:rPr/>
              <w:t xml:space="preserve">Common Stock, par value $0.000005 per share </w:t>
            </w:r>
          </w:p>
        </w:tc>
        <w:tc>
          <w:tcPr>
            <w:tcW w:w="1282" w:type="dxa"/>
            <w:tcBorders/>
            <w:shd w:fill="E7E7E2" w:val="clear"/>
            <w:vAlign w:val="center"/>
          </w:tcPr>
          <w:p>
            <w:pPr>
              <w:pStyle w:val="TableContents"/>
              <w:bidi w:val="0"/>
              <w:spacing w:before="0" w:after="283"/>
              <w:jc w:val="center"/>
              <w:rPr/>
            </w:pPr>
            <w:r>
              <w:rPr/>
              <w:t xml:space="preserve">Other </w:t>
            </w:r>
          </w:p>
        </w:tc>
        <w:tc>
          <w:tcPr>
            <w:tcW w:w="1192" w:type="dxa"/>
            <w:tcBorders/>
            <w:shd w:fill="E7E7E2" w:val="clear"/>
            <w:vAlign w:val="center"/>
          </w:tcPr>
          <w:p>
            <w:pPr>
              <w:pStyle w:val="TableContents"/>
              <w:bidi w:val="0"/>
              <w:spacing w:before="0" w:after="283"/>
              <w:jc w:val="right"/>
              <w:rPr/>
            </w:pPr>
            <w:r>
              <w:rPr/>
              <w:t xml:space="preserve">500,000 </w:t>
            </w:r>
          </w:p>
        </w:tc>
        <w:tc>
          <w:tcPr>
            <w:tcW w:w="1178" w:type="dxa"/>
            <w:tcBorders/>
            <w:shd w:fill="E7E7E2" w:val="clear"/>
            <w:vAlign w:val="center"/>
          </w:tcPr>
          <w:p>
            <w:pPr>
              <w:pStyle w:val="TableContents"/>
              <w:bidi w:val="0"/>
              <w:spacing w:before="0" w:after="283"/>
              <w:jc w:val="right"/>
              <w:rPr/>
            </w:pPr>
            <w:r>
              <w:rPr/>
              <w:t xml:space="preserve">$ 6.99 </w:t>
            </w:r>
          </w:p>
        </w:tc>
        <w:tc>
          <w:tcPr>
            <w:tcW w:w="1679" w:type="dxa"/>
            <w:tcBorders/>
            <w:shd w:fill="E7E7E2" w:val="clear"/>
            <w:vAlign w:val="center"/>
          </w:tcPr>
          <w:p>
            <w:pPr>
              <w:pStyle w:val="TableContents"/>
              <w:bidi w:val="0"/>
              <w:spacing w:before="0" w:after="283"/>
              <w:jc w:val="right"/>
              <w:rPr/>
            </w:pPr>
            <w:r>
              <w:rPr/>
              <w:t xml:space="preserve">$ 3,495,000.00 </w:t>
            </w:r>
          </w:p>
        </w:tc>
        <w:tc>
          <w:tcPr>
            <w:tcW w:w="1126" w:type="dxa"/>
            <w:tcBorders/>
            <w:shd w:fill="E7E7E2" w:val="clear"/>
            <w:vAlign w:val="center"/>
          </w:tcPr>
          <w:p>
            <w:pPr>
              <w:pStyle w:val="TableContents"/>
              <w:bidi w:val="0"/>
              <w:spacing w:before="0" w:after="283"/>
              <w:jc w:val="right"/>
              <w:rPr/>
            </w:pPr>
            <w:r>
              <w:rPr/>
              <w:t xml:space="preserve">0.0001381 </w:t>
            </w:r>
          </w:p>
        </w:tc>
        <w:tc>
          <w:tcPr>
            <w:tcW w:w="1409" w:type="dxa"/>
            <w:tcBorders/>
            <w:shd w:fill="E7E7E2" w:val="clear"/>
            <w:vAlign w:val="center"/>
          </w:tcPr>
          <w:p>
            <w:pPr>
              <w:pStyle w:val="TableContents"/>
              <w:bidi w:val="0"/>
              <w:spacing w:before="0" w:after="283"/>
              <w:jc w:val="right"/>
              <w:rPr/>
            </w:pPr>
            <w:r>
              <w:rPr/>
              <w:t xml:space="preserve">$ 482.66 </w:t>
            </w:r>
          </w:p>
        </w:tc>
      </w:tr>
      <w:tr>
        <w:trPr/>
        <w:tc>
          <w:tcPr>
            <w:tcW w:w="4813" w:type="dxa"/>
            <w:gridSpan w:val="5"/>
            <w:tcBorders/>
            <w:vAlign w:val="center"/>
          </w:tcPr>
          <w:p>
            <w:pPr>
              <w:pStyle w:val="TableContents"/>
              <w:bidi w:val="0"/>
              <w:spacing w:before="0" w:after="0"/>
              <w:ind w:left="0" w:right="0" w:hanging="0"/>
              <w:jc w:val="right"/>
              <w:rPr/>
            </w:pPr>
            <w:r>
              <w:rPr/>
              <w:t>Total Offering Amounts:</w:t>
            </w:r>
          </w:p>
        </w:tc>
        <w:tc>
          <w:tcPr>
            <w:tcW w:w="1178"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0"/>
              <w:ind w:left="0" w:right="0" w:hanging="0"/>
              <w:jc w:val="right"/>
              <w:rPr/>
            </w:pPr>
            <w:bookmarkStart w:id="4" w:name="MaxAggtOfferingPrice"/>
            <w:bookmarkEnd w:id="4"/>
            <w:r>
              <w:rPr/>
              <w:t xml:space="preserve">$ 34,251,000.00 </w:t>
            </w:r>
          </w:p>
        </w:tc>
        <w:tc>
          <w:tcPr>
            <w:tcW w:w="1126" w:type="dxa"/>
            <w:tcBorders/>
            <w:vAlign w:val="center"/>
          </w:tcPr>
          <w:p>
            <w:pPr>
              <w:pStyle w:val="TableContents"/>
              <w:bidi w:val="0"/>
              <w:spacing w:before="0" w:after="283"/>
              <w:jc w:val="left"/>
              <w:rPr>
                <w:sz w:val="4"/>
                <w:szCs w:val="4"/>
              </w:rPr>
            </w:pPr>
            <w:r>
              <w:rPr>
                <w:sz w:val="4"/>
                <w:szCs w:val="4"/>
              </w:rPr>
            </w:r>
          </w:p>
        </w:tc>
        <w:tc>
          <w:tcPr>
            <w:tcW w:w="140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$ 4,730.06 </w:t>
            </w:r>
          </w:p>
        </w:tc>
      </w:tr>
      <w:tr>
        <w:trPr/>
        <w:tc>
          <w:tcPr>
            <w:tcW w:w="4813" w:type="dxa"/>
            <w:gridSpan w:val="5"/>
            <w:tcBorders/>
            <w:vAlign w:val="center"/>
          </w:tcPr>
          <w:p>
            <w:pPr>
              <w:pStyle w:val="TableContents"/>
              <w:bidi w:val="0"/>
              <w:spacing w:before="0" w:after="0"/>
              <w:ind w:left="0" w:right="0" w:hanging="0"/>
              <w:jc w:val="right"/>
              <w:rPr/>
            </w:pPr>
            <w:r>
              <w:rPr/>
              <w:t xml:space="preserve">Total Fee Offsets: </w:t>
            </w:r>
          </w:p>
        </w:tc>
        <w:tc>
          <w:tcPr>
            <w:tcW w:w="1178"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813" w:type="dxa"/>
            <w:gridSpan w:val="5"/>
            <w:tcBorders/>
            <w:vAlign w:val="center"/>
          </w:tcPr>
          <w:p>
            <w:pPr>
              <w:pStyle w:val="TableContents"/>
              <w:bidi w:val="0"/>
              <w:spacing w:before="0" w:after="0"/>
              <w:ind w:left="0" w:right="0" w:hanging="0"/>
              <w:jc w:val="right"/>
              <w:rPr/>
            </w:pPr>
            <w:r>
              <w:rPr/>
              <w:t xml:space="preserve">Net Fee Due: </w:t>
            </w:r>
          </w:p>
        </w:tc>
        <w:tc>
          <w:tcPr>
            <w:tcW w:w="1178"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0"/>
              <w:ind w:left="0" w:right="0" w:hanging="0"/>
              <w:jc w:val="right"/>
              <w:rPr/>
            </w:pPr>
            <w:bookmarkStart w:id="7" w:name="NetFeeAmt"/>
            <w:bookmarkEnd w:id="7"/>
            <w:r>
              <w:rPr/>
              <w:t xml:space="preserve">$ 4,730.06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6"/>
        <w:gridCol w:w="8709"/>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1a. Pursuant to Rule 416(a) under the Securities Act of 1933, as amended (the "Securities Act"), this registration statement on Form S-8 also covers such additional shares of common stock, $0.000005 par value per share ("Common Stock"), of Precision BioSciences, Inc. (the "Registrant"), as may be issued to prevent dilution of the shares of Common Stock covered hereby resulting from stock splits, stock dividends or similar transactions. 2a. Represents an additional 4,400,000 shares of Common Stock under the Registrant's 2019 Incentive Award Plan, as Amended and Restated (the "2019 Plan"), which includes 3,800,000 shares of Common Stock available for issuance under the 2019 Plan and an additional 600,000 shares of Common Stock that may become issuable under the 2019 Plan pursuant to its terms. 3a. Represents an additional 500,000 shares of Common Stock under the Registrant's 2019 Employee Stock Purchase Plan (the "ESPP"). 4a. Estimated in accordance with the provisions of Rule 457(h) and Rule 457(c) promulgated under the Securities Act solely for the purpose of calculating the registration fee and calculated based on $6.99 per share, which represents the average high and low prices of the Registrant's Common Stock reported on The Nasdaq Capital Market on July 31, 2026. 5a. The Registrant does not have any fee offsets.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1b. Same as above. 2b. Same as above 3b. Same as above 4b. Same as above 5b. Same as above.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220" w:before="0" w:after="0"/>
        <w:jc w:val="right"/>
        <w:rPr>
          <w:rFonts w:ascii="Arial;sans-serif" w:hAnsi="Arial;sans-serif"/>
          <w:b/>
          <w:color w:val="000000"/>
          <w:sz w:val="20"/>
        </w:rPr>
      </w:pPr>
      <w:r>
        <w:rPr>
          <w:rFonts w:ascii="Arial;sans-serif" w:hAnsi="Arial;sans-serif"/>
          <w:b/>
          <w:color w:val="000000"/>
          <w:sz w:val="20"/>
        </w:rPr>
        <w:t>Exhibit 5.1</w:t>
      </w:r>
    </w:p>
    <w:p>
      <w:pPr>
        <w:pStyle w:val="TextBody"/>
        <w:bidi w:val="0"/>
        <w:spacing w:before="0" w:after="0"/>
        <w:jc w:val="left"/>
        <w:rPr/>
      </w:pPr>
      <w:r>
        <w:rPr/>
      </w:r>
    </w:p>
    <w:tbl>
      <w:tblPr>
        <w:tblW w:w="7161" w:type="dxa"/>
        <w:jc w:val="left"/>
        <w:tblInd w:w="0" w:type="dxa"/>
        <w:tblLayout w:type="fixed"/>
        <w:tblCellMar>
          <w:top w:w="28" w:type="dxa"/>
          <w:left w:w="28" w:type="dxa"/>
          <w:bottom w:w="28" w:type="dxa"/>
          <w:right w:w="28" w:type="dxa"/>
        </w:tblCellMar>
      </w:tblPr>
      <w:tblGrid>
        <w:gridCol w:w="1445"/>
        <w:gridCol w:w="1270"/>
        <w:gridCol w:w="1271"/>
        <w:gridCol w:w="109"/>
        <w:gridCol w:w="109"/>
        <w:gridCol w:w="109"/>
        <w:gridCol w:w="442"/>
        <w:gridCol w:w="442"/>
        <w:gridCol w:w="442"/>
        <w:gridCol w:w="442"/>
        <w:gridCol w:w="442"/>
        <w:gridCol w:w="638"/>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1271 Avenue of the Americas</w:t>
            </w:r>
          </w:p>
        </w:tc>
      </w:tr>
      <w:tr>
        <w:trPr/>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New York, New York 10020-1401</w:t>
            </w:r>
          </w:p>
        </w:tc>
      </w:tr>
      <w:tr>
        <w:trPr/>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Tel: +1.212.906.1200 Fax: +1.212.751.4864</w:t>
            </w:r>
          </w:p>
        </w:tc>
      </w:tr>
      <w:tr>
        <w:trPr/>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www.lw.com</w:t>
            </w:r>
          </w:p>
        </w:tc>
      </w:tr>
      <w:tr>
        <w:trPr/>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66975" cy="1905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15"/>
                          <a:stretch>
                            <a:fillRect/>
                          </a:stretch>
                        </pic:blipFill>
                        <pic:spPr bwMode="auto">
                          <a:xfrm>
                            <a:off x="0" y="0"/>
                            <a:ext cx="2466975" cy="1905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FIRM / AFFILIATE OFFICES</w:t>
            </w:r>
          </w:p>
        </w:tc>
      </w:tr>
      <w:tr>
        <w:trPr/>
        <w:tc>
          <w:tcPr>
            <w:tcW w:w="3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Austin</w:t>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Milan</w:t>
            </w:r>
          </w:p>
        </w:tc>
      </w:tr>
      <w:tr>
        <w:trPr/>
        <w:tc>
          <w:tcPr>
            <w:tcW w:w="3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Beijing</w:t>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Munich</w:t>
            </w:r>
          </w:p>
        </w:tc>
      </w:tr>
      <w:tr>
        <w:trPr/>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Boston</w:t>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New York</w:t>
            </w:r>
          </w:p>
        </w:tc>
      </w:tr>
      <w:tr>
        <w:trPr/>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Brussels</w:t>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Orange County</w:t>
            </w:r>
          </w:p>
        </w:tc>
      </w:tr>
      <w:tr>
        <w:trPr/>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Century City</w:t>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Paris</w:t>
            </w:r>
          </w:p>
        </w:tc>
      </w:tr>
      <w:tr>
        <w:trPr/>
        <w:tc>
          <w:tcPr>
            <w:tcW w:w="4313" w:type="dxa"/>
            <w:gridSpan w:val="6"/>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Chicago</w:t>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Riyadh</w:t>
            </w:r>
          </w:p>
        </w:tc>
      </w:tr>
      <w:tr>
        <w:trPr/>
        <w:tc>
          <w:tcPr>
            <w:tcW w:w="4313" w:type="dxa"/>
            <w:gridSpan w:val="6"/>
            <w:vMerge w:val="continue"/>
            <w:tcBorders/>
            <w:tcMar>
              <w:top w:w="0" w:type="dxa"/>
              <w:left w:w="0" w:type="dxa"/>
              <w:bottom w:w="0" w:type="dxa"/>
              <w:right w:w="0" w:type="dxa"/>
            </w:tcMar>
            <w:vAlign w:val="center"/>
          </w:tcPr>
          <w:p>
            <w:pPr>
              <w:pStyle w:val="Normal"/>
              <w:bidi w:val="0"/>
              <w:jc w:val="left"/>
              <w:rPr/>
            </w:pPr>
            <w:r>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Dubai</w:t>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San Diego</w:t>
            </w:r>
          </w:p>
        </w:tc>
      </w:tr>
      <w:tr>
        <w:trPr/>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Düsseldorf</w:t>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San Francisco</w:t>
            </w:r>
          </w:p>
        </w:tc>
      </w:tr>
      <w:tr>
        <w:trPr/>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Frankfurt</w:t>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Seoul</w:t>
            </w:r>
          </w:p>
        </w:tc>
      </w:tr>
      <w:tr>
        <w:trPr/>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Hamburg</w:t>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Silicon Valley</w:t>
            </w:r>
          </w:p>
        </w:tc>
      </w:tr>
      <w:tr>
        <w:trPr/>
        <w:tc>
          <w:tcPr>
            <w:tcW w:w="39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Precision BioSciences, Inc.</w:t>
              <w:br/>
              <w:t>302 East Pettigrew Street, Suite A-100</w:t>
              <w:br/>
              <w:t>Durham, North Carolina 27701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Hong Kong</w:t>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Singapore</w:t>
            </w:r>
          </w:p>
        </w:tc>
      </w:tr>
      <w:tr>
        <w:trPr/>
        <w:tc>
          <w:tcPr>
            <w:tcW w:w="3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Houston</w:t>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Tel Aviv</w:t>
            </w:r>
          </w:p>
        </w:tc>
      </w:tr>
      <w:tr>
        <w:trPr/>
        <w:tc>
          <w:tcPr>
            <w:tcW w:w="3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London</w:t>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Tokyo</w:t>
            </w:r>
          </w:p>
        </w:tc>
      </w:tr>
      <w:tr>
        <w:trPr/>
        <w:tc>
          <w:tcPr>
            <w:tcW w:w="3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Los Angeles</w:t>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Washington, D.C.</w:t>
            </w:r>
          </w:p>
        </w:tc>
      </w:tr>
      <w:tr>
        <w:trPr/>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Madrid</w:t>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August 7,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lineRule="auto" w:line="276" w:before="0" w:after="0"/>
        <w:ind w:left="0" w:right="0" w:hanging="720"/>
        <w:jc w:val="left"/>
        <w:rPr/>
      </w:pPr>
      <w:r>
        <w:rPr>
          <w:rFonts w:ascii="Times New Roman;serif" w:hAnsi="Times New Roman;serif"/>
          <w:b w:val="false"/>
          <w:color w:val="000000"/>
          <w:sz w:val="24"/>
        </w:rPr>
        <w:t>Re:    </w:t>
      </w:r>
      <w:r>
        <w:rPr>
          <w:rFonts w:ascii="Times New Roman;serif" w:hAnsi="Times New Roman;serif"/>
          <w:b w:val="false"/>
          <w:color w:val="000000"/>
          <w:sz w:val="24"/>
          <w:u w:val="single"/>
        </w:rPr>
        <w:t>Registration Statement on Form S-8 with respect to 4,900,000 shares of common stock, par value $0.000005 per share, of Precision BioSciences, Inc.</w:t>
      </w:r>
      <w:r>
        <w:rPr>
          <w:color w:val="000000"/>
        </w:rPr>
        <w:t xml:space="preserve"> </w:t>
      </w:r>
    </w:p>
    <w:p>
      <w:pPr>
        <w:pStyle w:val="TextBody"/>
        <w:bidi w:val="0"/>
        <w:spacing w:before="0" w:after="0"/>
        <w:ind w:left="0" w:right="0" w:hanging="72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To the addressee set forth above:</w:t>
      </w:r>
    </w:p>
    <w:p>
      <w:pPr>
        <w:pStyle w:val="TextBody"/>
        <w:bidi w:val="0"/>
        <w:spacing w:lineRule="auto" w:line="268" w:before="0" w:after="0"/>
        <w:ind w:left="0" w:right="0" w:firstLine="720"/>
        <w:jc w:val="both"/>
        <w:rPr/>
      </w:pPr>
      <w:r>
        <w:rPr>
          <w:rFonts w:ascii="Times New Roman;serif" w:hAnsi="Times New Roman;serif"/>
          <w:b w:val="false"/>
          <w:color w:val="000000"/>
          <w:sz w:val="24"/>
        </w:rPr>
        <w:t>We have acted as special counsel to Precision BioSciences,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in connection with the proposed issuance by the Company of up to 4,900,000 shares of common stock of the Company, par value $0.000005 per share (the “</w:t>
      </w:r>
      <w:r>
        <w:rPr>
          <w:rFonts w:ascii="Times New Roman;serif" w:hAnsi="Times New Roman;serif"/>
          <w:b/>
          <w:i/>
          <w:color w:val="000000"/>
          <w:sz w:val="24"/>
        </w:rPr>
        <w:t>Common Stock</w:t>
      </w:r>
      <w:r>
        <w:rPr>
          <w:color w:val="000000"/>
        </w:rPr>
        <w:t>”</w:t>
      </w:r>
      <w:r>
        <w:rPr>
          <w:rFonts w:ascii="Times New Roman;serif" w:hAnsi="Times New Roman;serif"/>
          <w:b w:val="false"/>
          <w:color w:val="000000"/>
          <w:sz w:val="24"/>
        </w:rPr>
        <w:t>), composed of up to 4,400,000 shares of Common Stock (the “</w:t>
      </w:r>
      <w:r>
        <w:rPr>
          <w:rFonts w:ascii="Times New Roman;serif" w:hAnsi="Times New Roman;serif"/>
          <w:b/>
          <w:i/>
          <w:color w:val="000000"/>
          <w:sz w:val="24"/>
        </w:rPr>
        <w:t>Plan Shares</w:t>
      </w:r>
      <w:r>
        <w:rPr>
          <w:color w:val="000000"/>
        </w:rPr>
        <w:t>”</w:t>
      </w:r>
      <w:r>
        <w:rPr>
          <w:rFonts w:ascii="Times New Roman;serif" w:hAnsi="Times New Roman;serif"/>
          <w:b w:val="false"/>
          <w:color w:val="000000"/>
          <w:sz w:val="24"/>
        </w:rPr>
        <w:t>) issuable under the Company’s 2019 Incentive Award Plan (as amended and restated, the “</w:t>
      </w:r>
      <w:r>
        <w:rPr>
          <w:rFonts w:ascii="Times New Roman;serif" w:hAnsi="Times New Roman;serif"/>
          <w:b/>
          <w:i/>
          <w:color w:val="000000"/>
          <w:sz w:val="24"/>
        </w:rPr>
        <w:t>2019 Plan</w:t>
      </w:r>
      <w:r>
        <w:rPr>
          <w:color w:val="000000"/>
        </w:rPr>
        <w:t>”</w:t>
      </w:r>
      <w:r>
        <w:rPr>
          <w:rFonts w:ascii="Times New Roman;serif" w:hAnsi="Times New Roman;serif"/>
          <w:b w:val="false"/>
          <w:color w:val="000000"/>
          <w:sz w:val="24"/>
        </w:rPr>
        <w:t>), and up to 500,000 shares of Common Stock (together with the Plan Shares, the “</w:t>
      </w:r>
      <w:r>
        <w:rPr>
          <w:rFonts w:ascii="Times New Roman;serif" w:hAnsi="Times New Roman;serif"/>
          <w:b/>
          <w:i/>
          <w:color w:val="000000"/>
          <w:sz w:val="24"/>
        </w:rPr>
        <w:t>Shares</w:t>
      </w:r>
      <w:r>
        <w:rPr>
          <w:color w:val="000000"/>
        </w:rPr>
        <w:t>”</w:t>
      </w:r>
      <w:r>
        <w:rPr>
          <w:rFonts w:ascii="Times New Roman;serif" w:hAnsi="Times New Roman;serif"/>
          <w:b w:val="false"/>
          <w:color w:val="000000"/>
          <w:sz w:val="24"/>
        </w:rPr>
        <w:t>) issuable under the Company’s 2019 Employee Stock Purchase Plan (the “</w:t>
      </w:r>
      <w:r>
        <w:rPr>
          <w:rFonts w:ascii="Times New Roman;serif" w:hAnsi="Times New Roman;serif"/>
          <w:b/>
          <w:i/>
          <w:color w:val="000000"/>
          <w:sz w:val="24"/>
        </w:rPr>
        <w:t>ESPP</w:t>
      </w:r>
      <w:r>
        <w:rPr>
          <w:color w:val="000000"/>
        </w:rPr>
        <w:t>”</w:t>
      </w:r>
      <w:r>
        <w:rPr>
          <w:rFonts w:ascii="Times New Roman;serif" w:hAnsi="Times New Roman;serif"/>
          <w:b w:val="false"/>
          <w:color w:val="000000"/>
          <w:sz w:val="24"/>
        </w:rPr>
        <w:t>). The Shares are included in a registration statement on Form S-8 under the Securities Act of 1933, as amended (the “</w:t>
      </w:r>
      <w:r>
        <w:rPr>
          <w:rFonts w:ascii="Times New Roman;serif" w:hAnsi="Times New Roman;serif"/>
          <w:b/>
          <w:i/>
          <w:color w:val="000000"/>
          <w:sz w:val="24"/>
        </w:rPr>
        <w:t>Act</w:t>
      </w:r>
      <w:r>
        <w:rPr>
          <w:color w:val="000000"/>
        </w:rPr>
        <w:t>”</w:t>
      </w:r>
      <w:r>
        <w:rPr>
          <w:rFonts w:ascii="Times New Roman;serif" w:hAnsi="Times New Roman;serif"/>
          <w:b w:val="false"/>
          <w:color w:val="000000"/>
          <w:sz w:val="24"/>
        </w:rPr>
        <w:t>), filed with the Securities and Exchange Commission (the “</w:t>
      </w:r>
      <w:r>
        <w:rPr>
          <w:rFonts w:ascii="Times New Roman;serif" w:hAnsi="Times New Roman;serif"/>
          <w:b/>
          <w:i/>
          <w:color w:val="000000"/>
          <w:sz w:val="24"/>
        </w:rPr>
        <w:t>Commission</w:t>
      </w:r>
      <w:r>
        <w:rPr>
          <w:color w:val="000000"/>
        </w:rPr>
        <w:t>”</w:t>
      </w:r>
      <w:r>
        <w:rPr>
          <w:rFonts w:ascii="Times New Roman;serif" w:hAnsi="Times New Roman;serif"/>
          <w:b w:val="false"/>
          <w:color w:val="000000"/>
          <w:sz w:val="24"/>
        </w:rPr>
        <w:t>) on August 7, 2026 (the “</w:t>
      </w:r>
      <w:r>
        <w:rPr>
          <w:rFonts w:ascii="Times New Roman;serif" w:hAnsi="Times New Roman;serif"/>
          <w:b/>
          <w:i/>
          <w:color w:val="000000"/>
          <w:sz w:val="24"/>
        </w:rPr>
        <w:t>Registration Statement</w:t>
      </w:r>
      <w:r>
        <w:rPr>
          <w:color w:val="000000"/>
        </w:rPr>
        <w:t>”</w:t>
      </w:r>
      <w:r>
        <w:rPr>
          <w:rFonts w:ascii="Times New Roman;serif" w:hAnsi="Times New Roman;serif"/>
          <w:b w:val="false"/>
          <w:color w:val="000000"/>
          <w:sz w:val="24"/>
        </w:rPr>
        <w:t>). This opinion is being furnished in connection with the requirements of Item 601(b)(5) of Regulation S-K under the Act, and no opinion is expressed herein as to any matter pertaining to the contents of the Registration Statement or prospectuses forming a part thereof, other than as expressly stated herein with respect to the issuance of the Shares.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only as to the General Corporation Law of the State of Delaware (the “</w:t>
      </w:r>
      <w:r>
        <w:rPr>
          <w:rFonts w:ascii="Times New Roman;serif" w:hAnsi="Times New Roman;serif"/>
          <w:b/>
          <w:i/>
          <w:color w:val="000000"/>
          <w:sz w:val="24"/>
        </w:rPr>
        <w:t>DGCL</w:t>
      </w:r>
      <w:r>
        <w:rPr>
          <w:color w:val="000000"/>
        </w:rPr>
        <w:t>”</w:t>
      </w:r>
      <w:r>
        <w:rPr>
          <w:rFonts w:ascii="Times New Roman;serif" w:hAnsi="Times New Roman;serif"/>
          <w:b w:val="false"/>
          <w:color w:val="000000"/>
          <w:sz w:val="24"/>
        </w:rPr>
        <w:t>), and we express no opinion with respect to any other laws.</w:t>
      </w:r>
    </w:p>
    <w:p>
      <w:pPr>
        <w:pStyle w:val="TextBody"/>
        <w:bidi w:val="0"/>
        <w:spacing w:before="0" w:after="0"/>
        <w:ind w:left="0" w:right="0" w:firstLine="720"/>
        <w:jc w:val="both"/>
        <w:rPr/>
      </w:pPr>
      <w:r>
        <w:rPr/>
      </w:r>
    </w:p>
    <w:p>
      <w:pPr>
        <w:pStyle w:val="TextBody"/>
        <w:bidi w:val="0"/>
        <w:spacing w:lineRule="auto" w:line="26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Subject to the foregoing and the other matters set forth herein, it is our opinion that, as of the date hereof, when the Shares shall have been duly registered on the books of the transfer </w:t>
      </w:r>
    </w:p>
    <w:p>
      <w:pPr>
        <w:pStyle w:val="TextBody"/>
        <w:bidi w:val="0"/>
        <w:spacing w:lineRule="auto" w:line="288" w:before="113" w:after="360"/>
        <w:jc w:val="left"/>
        <w:rPr>
          <w:rFonts w:ascii="Arial;sans-serif" w:hAnsi="Arial;sans-serif"/>
          <w:b/>
          <w:color w:val="000000"/>
          <w:sz w:val="14"/>
        </w:rPr>
      </w:pPr>
      <w:r>
        <w:rPr>
          <w:rFonts w:ascii="Arial;sans-serif" w:hAnsi="Arial;sans-serif"/>
          <w:b/>
          <w:color w:val="000000"/>
          <w:sz w:val="14"/>
        </w:rPr>
        <w:t>August 7, 2026</w:t>
        <w:br/>
        <w:t>Page 2</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13" w:after="360"/>
        <w:ind w:left="0" w:right="0" w:firstLine="720"/>
        <w:jc w:val="left"/>
        <w:rPr/>
      </w:pPr>
      <w:r>
        <w:rPr/>
        <w:drawing>
          <wp:inline distT="0" distB="0" distL="0" distR="0">
            <wp:extent cx="1543050" cy="10477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16"/>
                    <a:stretch>
                      <a:fillRect/>
                    </a:stretch>
                  </pic:blipFill>
                  <pic:spPr bwMode="auto">
                    <a:xfrm>
                      <a:off x="0" y="0"/>
                      <a:ext cx="1543050" cy="104775"/>
                    </a:xfrm>
                    <a:prstGeom prst="rect">
                      <a:avLst/>
                    </a:prstGeom>
                  </pic:spPr>
                </pic:pic>
              </a:graphicData>
            </a:graphic>
          </wp:inline>
        </w:drawing>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agent and registrar therefor in the name or on behalf of the recipients thereof, and have been issued by the Company for legal consideration in excess of par value in the circumstances contemplated by the 2019 Plan and the ESPP, as applicable, and assuming in each case that the individual issuances, grants or awards under the 2019 Plan and the ESPP, as applicable, are duly authorized by all necessary corporate action and duly issued, granted or awarded and exercised in accordance with the requirements of law and the 2019 Plan and the ESPP (and the agreements and awards duly adopted thereunder and in accordance therewith), as applicable, the issue and sale of the Shares will have been duly authorized by all necessary corporate action of the Company, and such Shares will be validly issued, fully paid and non-assessable. In rendering the foregoing opinion, we have assumed that the Company will comply with all applicable notice requirements regarding uncertificated shares provided in the DGCL.</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Sincerely,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/s/ Latham &amp; Watkins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23.1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Arial;sans-serif" w:hAnsi="Arial;sans-serif"/>
          <w:b/>
          <w:color w:val="000000"/>
          <w:sz w:val="22"/>
          <w:shd w:fill="FFFFFF" w:val="clear"/>
        </w:rPr>
      </w:pPr>
      <w:r>
        <w:rPr>
          <w:rFonts w:ascii="Arial;sans-serif" w:hAnsi="Arial;sans-serif"/>
          <w:b/>
          <w:color w:val="000000"/>
          <w:sz w:val="22"/>
          <w:shd w:fill="FFFFFF" w:val="clear"/>
        </w:rPr>
        <w:t>CONSENT OF INDEPENDENT REGISTERED PUBLIC ACCOUNTING FIRM</w:t>
      </w:r>
    </w:p>
    <w:p>
      <w:pPr>
        <w:pStyle w:val="TextBody"/>
        <w:bidi w:val="0"/>
        <w:spacing w:before="0" w:after="160"/>
        <w:jc w:val="left"/>
        <w:rPr/>
      </w:pPr>
      <w:r>
        <w:rPr/>
      </w:r>
    </w:p>
    <w:p>
      <w:pPr>
        <w:pStyle w:val="TextBody"/>
        <w:bidi w:val="0"/>
        <w:spacing w:lineRule="auto" w:line="300" w:before="0" w:after="16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We consent to the incorporation by reference in this Registration Statement on Form S-8 of our report dated March 12, 2026, relating to the financial statements of Precision BioSciences, Inc. appearing in the Annual Report on Form 10-K of Precision BioSciences, Inc. for the year ended December 31, 2025. </w:t>
      </w:r>
    </w:p>
    <w:p>
      <w:pPr>
        <w:pStyle w:val="TextBody"/>
        <w:bidi w:val="0"/>
        <w:spacing w:before="0" w:after="160"/>
        <w:jc w:val="left"/>
        <w:rPr/>
      </w:pPr>
      <w:r>
        <w:rPr/>
      </w:r>
    </w:p>
    <w:p>
      <w:pPr>
        <w:pStyle w:val="TextBody"/>
        <w:bidi w:val="0"/>
        <w:spacing w:lineRule="auto" w:line="300" w:before="0" w:after="16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/s/ Deloitte &amp; Touche LLP</w:t>
      </w:r>
    </w:p>
    <w:p>
      <w:pPr>
        <w:pStyle w:val="TextBody"/>
        <w:bidi w:val="0"/>
        <w:spacing w:lineRule="auto" w:line="300" w:before="0" w:after="16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Raleigh, North Carolina</w:t>
      </w:r>
    </w:p>
    <w:p>
      <w:pPr>
        <w:pStyle w:val="TextBody"/>
        <w:bidi w:val="0"/>
        <w:spacing w:lineRule="auto" w:line="300" w:before="0" w:after="16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August 7, 2026</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57874/000119312519094734/d723066ds8.htm" TargetMode="External"/><Relationship Id="rId3" Type="http://schemas.openxmlformats.org/officeDocument/2006/relationships/hyperlink" Target="https://www.sec.gov/Archives/edgar/data/1357874/000156459021047209/dtil-s8.htm" TargetMode="External"/><Relationship Id="rId4" Type="http://schemas.openxmlformats.org/officeDocument/2006/relationships/hyperlink" Target="https://www.sec.gov/Archives/edgar/data/1357874/000156459022030152/dtil-s8.htm" TargetMode="External"/><Relationship Id="rId5" Type="http://schemas.openxmlformats.org/officeDocument/2006/relationships/hyperlink" Target="https://www.sec.gov/Archives/edgar/data/1357874/000095017024079276/2024.06.13_s-8_filing_ve.htm" TargetMode="External"/><Relationship Id="rId6" Type="http://schemas.openxmlformats.org/officeDocument/2006/relationships/hyperlink" Target="https://www.sec.gov/Archives/edgar/data/1357874/000162828025059075/a202512s-8draft1.htm" TargetMode="External"/><Relationship Id="rId7" Type="http://schemas.openxmlformats.org/officeDocument/2006/relationships/hyperlink" Target="https://www.sec.gov/Archives/edgar/data/1357874/000119312519094641/d727819dex31.htm" TargetMode="External"/><Relationship Id="rId8" Type="http://schemas.openxmlformats.org/officeDocument/2006/relationships/hyperlink" Target="https://www.sec.gov/Archives/edgar/data/1357874/000095017024014194/dtil-ex3_1.htm" TargetMode="External"/><Relationship Id="rId9" Type="http://schemas.openxmlformats.org/officeDocument/2006/relationships/hyperlink" Target="https://www.sec.gov/Archives/edgar/data/1357874/000162828026038220/dtil-proposedamendmenttoar.htm" TargetMode="External"/><Relationship Id="rId10" Type="http://schemas.openxmlformats.org/officeDocument/2006/relationships/hyperlink" Target="https://www.sec.gov/Archives/edgar/data/1357874/000156459020052737/dtil-ex32_377.htm" TargetMode="External"/><Relationship Id="rId11" Type="http://schemas.openxmlformats.org/officeDocument/2006/relationships/hyperlink" Target="https://www.sec.gov/Archives/edgar/data/1357874/000119312519077399/d717633dex41.htm" TargetMode="External"/><Relationship Id="rId12" Type="http://schemas.openxmlformats.org/officeDocument/2006/relationships/hyperlink" Target="https://www.sec.gov/Archives/edgar/data/1357874/000162828026038220/a2019incentiveawardplaneff.htm" TargetMode="External"/><Relationship Id="rId13" Type="http://schemas.openxmlformats.org/officeDocument/2006/relationships/hyperlink" Target="https://www.sec.gov/Archives/edgar/data/1357874/000119312519077399/d717633dex1011.htm" TargetMode="External"/><Relationship Id="rId14" Type="http://schemas.openxmlformats.org/officeDocument/2006/relationships/hyperlink" Target="https://www.sec.gov/Archives/edgar/data/1357874/000119312519077399/d717633dex1011.htm" TargetMode="External"/><Relationship Id="rId15" Type="http://schemas.openxmlformats.org/officeDocument/2006/relationships/image" Target="media/image1.jpeg"/><Relationship Id="rId16" Type="http://schemas.openxmlformats.org/officeDocument/2006/relationships/image" Target="media/image2.pn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2201</Words>
  <Characters>11848</Characters>
  <CharactersWithSpaces>13857</CharactersWithSpaces>
  <Paragraphs>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